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ind w:firstLine="3544"/>
        <w:jc w:val="right"/>
        <w:rPr>
          <w:rFonts w:ascii="Times New Roman" w:hAnsi="Times New Roman" w:eastAsia="Times New Roman" w:cs="Times New Roman"/>
          <w:sz w:val="24"/>
          <w:szCs w:val="24"/>
        </w:rPr>
      </w:pPr>
      <w:bookmarkStart w:id="0" w:name="_GoBack"/>
      <w:bookmarkEnd w:id="0"/>
      <w:r>
        <w:rPr>
          <w:rFonts w:eastAsia="Times New Roman" w:cs="Times New Roman" w:ascii="Times New Roman" w:hAnsi="Times New Roman"/>
          <w:sz w:val="24"/>
          <w:szCs w:val="24"/>
        </w:rPr>
        <w:t>Приложение</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к паспорту подпрограммы Брянской области</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«Оказание содействия добровольному</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переселению в Брянскую область</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соотечественников, проживающих за рубежом»</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bl>
      <w:tblPr>
        <w:tblW w:w="9701"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3039"/>
        <w:gridCol w:w="339"/>
        <w:gridCol w:w="6323"/>
      </w:tblGrid>
      <w:tr>
        <w:trPr/>
        <w:tc>
          <w:tcPr>
            <w:tcW w:w="3039" w:type="dxa"/>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Ожидаемые конечные (плановые) результаты реализации подпрограммы</w:t>
            </w:r>
          </w:p>
        </w:tc>
        <w:tc>
          <w:tcPr>
            <w:tcW w:w="339" w:type="dxa"/>
            <w:tcBorders/>
          </w:tcPr>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w:t>
            </w:r>
          </w:p>
        </w:tc>
        <w:tc>
          <w:tcPr>
            <w:tcW w:w="6323" w:type="dxa"/>
            <w:tcBorders/>
          </w:tcPr>
          <w:p>
            <w:pPr>
              <w:pStyle w:val="Normal"/>
              <w:widowControl w:val="false"/>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1. Обеспечение к 2024 году переселения </w:t>
              <w:br/>
              <w:t>на территорию Брянской области 1500 участников Государственной программы, в том числе по годам:</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2019 году – 450 участников Государственной программы;</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2020 году – 450 участников Государственной программы;</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2021 году – 150 участников Государственной программы;</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2022 году – 150 участников Государственной программы;</w:t>
            </w:r>
          </w:p>
          <w:p>
            <w:pPr>
              <w:pStyle w:val="Normal"/>
              <w:widowControl w:val="false"/>
              <w:tabs>
                <w:tab w:val="clear" w:pos="708"/>
                <w:tab w:val="left" w:pos="709" w:leader="none"/>
              </w:tabs>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2023 году – 150 участников Государственной программы;</w:t>
            </w:r>
          </w:p>
          <w:p>
            <w:pPr>
              <w:pStyle w:val="Normal"/>
              <w:widowControl w:val="false"/>
              <w:tabs>
                <w:tab w:val="clear" w:pos="708"/>
                <w:tab w:val="left" w:pos="1110" w:leader="none"/>
              </w:tabs>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2024 году – 150 участников Государственной программы.</w:t>
            </w:r>
          </w:p>
          <w:p>
            <w:pPr>
              <w:pStyle w:val="Normal"/>
              <w:widowControl w:val="false"/>
              <w:spacing w:lineRule="auto" w:line="240" w:before="0" w:after="0"/>
              <w:ind w:left="18" w:hanging="8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2. Обеспечение к 2024 году переселения на территорию Брянской области 2240 человек (1500 участников Государственной программы </w:t>
              <w:br/>
              <w:t>и 740 членов их семей), в том числе по годам:</w:t>
            </w:r>
          </w:p>
          <w:p>
            <w:pPr>
              <w:pStyle w:val="Normal"/>
              <w:widowControl w:val="false"/>
              <w:spacing w:lineRule="auto" w:line="240" w:before="0" w:after="0"/>
              <w:ind w:left="18" w:firstLine="718"/>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в 2019 году – 720 человек (450 участников Государственной программы и 270 членов их семей);</w:t>
            </w:r>
          </w:p>
          <w:p>
            <w:pPr>
              <w:pStyle w:val="Normal"/>
              <w:widowControl w:val="false"/>
              <w:tabs>
                <w:tab w:val="clear" w:pos="708"/>
                <w:tab w:val="left" w:pos="709" w:leader="none"/>
              </w:tabs>
              <w:spacing w:lineRule="auto" w:line="240" w:before="0" w:after="0"/>
              <w:ind w:firstLine="718"/>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2020 году – 720 человек (450 участников Государственной программы и 270 членов их семей);</w:t>
            </w:r>
          </w:p>
          <w:p>
            <w:pPr>
              <w:pStyle w:val="Normal"/>
              <w:widowControl w:val="false"/>
              <w:tabs>
                <w:tab w:val="clear" w:pos="708"/>
                <w:tab w:val="left" w:pos="1095" w:leader="none"/>
              </w:tabs>
              <w:spacing w:lineRule="auto" w:line="240" w:before="0" w:after="0"/>
              <w:ind w:firstLine="718"/>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2021 году – 200 человек (150 участников Государственной программы и 50 членов их семей);</w:t>
            </w:r>
          </w:p>
          <w:p>
            <w:pPr>
              <w:pStyle w:val="Normal"/>
              <w:widowControl w:val="false"/>
              <w:spacing w:lineRule="auto" w:line="240" w:before="0" w:after="0"/>
              <w:ind w:firstLine="718"/>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2022 году – 200 человек (150 участников Государственной программы и 50 членов их семей);</w:t>
            </w:r>
          </w:p>
          <w:p>
            <w:pPr>
              <w:pStyle w:val="Normal"/>
              <w:widowControl w:val="false"/>
              <w:tabs>
                <w:tab w:val="clear" w:pos="708"/>
                <w:tab w:val="left" w:pos="709" w:leader="none"/>
              </w:tabs>
              <w:spacing w:lineRule="auto" w:line="240" w:before="0" w:after="0"/>
              <w:ind w:firstLine="718"/>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2023 году – 200 человек (150 участников Государственной программы и 50 членов их семей);</w:t>
            </w:r>
          </w:p>
          <w:p>
            <w:pPr>
              <w:pStyle w:val="Normal"/>
              <w:widowControl w:val="false"/>
              <w:tabs>
                <w:tab w:val="clear" w:pos="708"/>
                <w:tab w:val="left" w:pos="1110" w:leader="none"/>
              </w:tabs>
              <w:spacing w:lineRule="auto" w:line="240" w:before="0" w:after="0"/>
              <w:ind w:firstLine="718"/>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2024 году – 200 человек (150 участников Государственной программы и 50 членов их семей).</w:t>
            </w:r>
          </w:p>
          <w:p>
            <w:pPr>
              <w:pStyle w:val="Normal"/>
              <w:widowControl w:val="false"/>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 Доля участников Государственной программы и членов их семей, имеющих среднее профессиональное или высшее образование, в общем количестве прибывших в Брянскую область участников Государственной программы и членов их семей составит:</w:t>
            </w:r>
          </w:p>
          <w:p>
            <w:pPr>
              <w:pStyle w:val="Normal"/>
              <w:widowControl w:val="false"/>
              <w:spacing w:lineRule="auto" w:line="240" w:before="0" w:after="0"/>
              <w:ind w:left="30"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2019 году – не менее 60 %;</w:t>
            </w:r>
          </w:p>
          <w:p>
            <w:pPr>
              <w:pStyle w:val="Normal"/>
              <w:widowControl w:val="false"/>
              <w:spacing w:lineRule="auto" w:line="240" w:before="0" w:after="0"/>
              <w:ind w:left="30"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2020 году – не менее 60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709" w:leader="none"/>
              </w:tabs>
              <w:spacing w:lineRule="auto" w:line="240" w:before="0" w:after="0"/>
              <w:ind w:left="30"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2021 году – не менее 60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709" w:leader="none"/>
              </w:tabs>
              <w:spacing w:lineRule="auto" w:line="240" w:before="0" w:after="0"/>
              <w:ind w:left="30"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2022 году – не менее 60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709" w:leader="none"/>
              </w:tabs>
              <w:spacing w:lineRule="auto" w:line="240" w:before="0" w:after="0"/>
              <w:ind w:left="30"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2023 году – не менее 60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709" w:leader="none"/>
              </w:tabs>
              <w:spacing w:lineRule="auto" w:line="240" w:before="0" w:after="0"/>
              <w:ind w:left="30"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2024 году – не менее 60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709" w:leader="none"/>
              </w:tabs>
              <w:spacing w:lineRule="auto" w:line="240" w:before="0" w:after="0"/>
              <w:ind w:firstLine="3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 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числа участников Государственной программы и членов их семей в возрастной категории до 25 лет:</w:t>
            </w:r>
          </w:p>
          <w:p>
            <w:pPr>
              <w:pStyle w:val="Normal"/>
              <w:widowControl w:val="false"/>
              <w:tabs>
                <w:tab w:val="clear" w:pos="708"/>
                <w:tab w:val="left" w:pos="1022"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2019 году – не менее 10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1022"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2020 году – не менее 10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 xml:space="preserve">; </w:t>
            </w:r>
          </w:p>
          <w:p>
            <w:pPr>
              <w:pStyle w:val="Normal"/>
              <w:widowControl w:val="false"/>
              <w:tabs>
                <w:tab w:val="clear" w:pos="708"/>
                <w:tab w:val="left" w:pos="1022"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2021 году – не менее 10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1022"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2022 году – не менее 10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1022"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2023 году – не менее 10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1022" w:leader="none"/>
              </w:tabs>
              <w:spacing w:lineRule="auto" w:line="240" w:before="0" w:after="0"/>
              <w:ind w:left="30" w:firstLine="720"/>
              <w:jc w:val="both"/>
              <w:rPr>
                <w:rFonts w:ascii="Times New Roman" w:hAnsi="Times New Roman" w:eastAsia="Times New Roman" w:cs="Times New Roman"/>
                <w:i/>
                <w:i/>
                <w:sz w:val="28"/>
                <w:szCs w:val="28"/>
              </w:rPr>
            </w:pPr>
            <w:r>
              <w:rPr>
                <w:rFonts w:eastAsia="Times New Roman" w:cs="Times New Roman" w:ascii="Times New Roman" w:hAnsi="Times New Roman"/>
                <w:sz w:val="28"/>
                <w:szCs w:val="28"/>
              </w:rPr>
              <w:t xml:space="preserve">в 2024 году – не менее 10 </w:t>
            </w:r>
            <w:r>
              <w:rPr>
                <w:rFonts w:eastAsia="Times New Roman" w:cs="Times New Roman" w:ascii="Times New Roman" w:hAnsi="Times New Roman"/>
                <w:i/>
                <w:sz w:val="28"/>
                <w:szCs w:val="28"/>
              </w:rPr>
              <w:t>%.</w:t>
            </w:r>
          </w:p>
          <w:p>
            <w:pPr>
              <w:pStyle w:val="Normal"/>
              <w:widowControl w:val="false"/>
              <w:tabs>
                <w:tab w:val="clear" w:pos="708"/>
                <w:tab w:val="left" w:pos="30" w:leader="none"/>
              </w:tabs>
              <w:spacing w:lineRule="auto" w:line="240" w:before="0" w:after="0"/>
              <w:ind w:left="30" w:hanging="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 Обеспечение    к   2024 году   проведения   уполномоченным органом 6 презентаций подпрограммы, в том числе по годам:</w:t>
            </w:r>
          </w:p>
          <w:p>
            <w:pPr>
              <w:pStyle w:val="Normal"/>
              <w:widowControl w:val="false"/>
              <w:tabs>
                <w:tab w:val="clear" w:pos="708"/>
                <w:tab w:val="left" w:pos="709"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2019 году – 1;</w:t>
            </w:r>
          </w:p>
          <w:p>
            <w:pPr>
              <w:pStyle w:val="Normal"/>
              <w:widowControl w:val="false"/>
              <w:tabs>
                <w:tab w:val="clear" w:pos="708"/>
                <w:tab w:val="left" w:pos="709"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2020 году – 1;</w:t>
            </w:r>
          </w:p>
          <w:p>
            <w:pPr>
              <w:pStyle w:val="Normal"/>
              <w:widowControl w:val="false"/>
              <w:tabs>
                <w:tab w:val="clear" w:pos="708"/>
                <w:tab w:val="left" w:pos="709"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2021 году – 1;</w:t>
            </w:r>
          </w:p>
          <w:p>
            <w:pPr>
              <w:pStyle w:val="Normal"/>
              <w:widowControl w:val="false"/>
              <w:tabs>
                <w:tab w:val="clear" w:pos="708"/>
                <w:tab w:val="left" w:pos="709"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2022 году – 1;</w:t>
            </w:r>
          </w:p>
          <w:p>
            <w:pPr>
              <w:pStyle w:val="Normal"/>
              <w:widowControl w:val="false"/>
              <w:tabs>
                <w:tab w:val="clear" w:pos="708"/>
                <w:tab w:val="left" w:pos="709"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2023 году – 1;</w:t>
            </w:r>
          </w:p>
          <w:p>
            <w:pPr>
              <w:pStyle w:val="Normal"/>
              <w:widowControl w:val="false"/>
              <w:tabs>
                <w:tab w:val="clear" w:pos="708"/>
                <w:tab w:val="left" w:pos="709" w:leader="none"/>
              </w:tabs>
              <w:spacing w:lineRule="auto" w:line="240" w:before="0" w:after="0"/>
              <w:ind w:left="30"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2024 году – 1.</w:t>
            </w:r>
          </w:p>
          <w:p>
            <w:pPr>
              <w:pStyle w:val="Normal"/>
              <w:widowControl w:val="false"/>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6.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2019 году – 10 %;</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2020 году – 10 %;</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2021 году – 10 %;</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2022 году – 10 %;</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2023 году – 10 %;</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2024 году – 10 %.</w:t>
            </w:r>
          </w:p>
          <w:p>
            <w:pPr>
              <w:pStyle w:val="Normal"/>
              <w:widowControl w:val="false"/>
              <w:tabs>
                <w:tab w:val="clear" w:pos="708"/>
                <w:tab w:val="left" w:pos="709" w:leader="none"/>
              </w:tabs>
              <w:spacing w:lineRule="auto" w:line="240" w:before="0" w:after="0"/>
              <w:ind w:firstLine="3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7. Доля   занятых   участников    Государственной программы, осуществляющих предпринимательскую деятельность, от числа участников Государственной программы:</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2019 году – 20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2020 году – 20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 xml:space="preserve">; </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2021 году – 20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2022 году – 20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2023 году – 20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tabs>
                <w:tab w:val="clear" w:pos="708"/>
                <w:tab w:val="left" w:pos="709" w:leader="none"/>
              </w:tabs>
              <w:spacing w:lineRule="auto" w:line="240" w:before="0" w:after="0"/>
              <w:ind w:firstLine="736"/>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2024 году – 20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8. Доля участников Государственной программы и членов их семей, охваченных мероприятиями, направленными на социальную, культурную адаптацию и интеграцию в принимающее сообщество в течение всего срока реализации программы, от общего числа обратившихся участников Государственной программы и членов их семей составит не менее 70 </w:t>
            </w:r>
            <w:r>
              <w:rPr>
                <w:rFonts w:eastAsia="Times New Roman" w:cs="Times New Roman" w:ascii="Times New Roman" w:hAnsi="Times New Roman"/>
                <w:i/>
                <w:sz w:val="28"/>
                <w:szCs w:val="28"/>
              </w:rPr>
              <w:t>%</w:t>
            </w:r>
            <w:r>
              <w:rPr>
                <w:rFonts w:eastAsia="Times New Roman" w:cs="Times New Roman" w:ascii="Times New Roman" w:hAnsi="Times New Roman"/>
                <w:sz w:val="28"/>
                <w:szCs w:val="28"/>
              </w:rPr>
              <w:t xml:space="preserve"> ежегодно.</w:t>
            </w:r>
          </w:p>
        </w:tc>
      </w:tr>
    </w:tbl>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Приложение 1</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к подпрограмме «Оказание содействия</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добровольному переселению в Брянскую область</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соотечественников, проживающих за рубежом»</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I. Общая характеристика сферы реализации подпрограммы</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Подпрограмма «Оказание содействия добровольному переселению в Брянскую область соотечественников, проживающих за рубежом»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 направлена на прием и обустройство соотечественников, проживающих за рубежом, в соответствии с потребностями развития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Брянская область является приграничной территорией и единственным регионом, примыкающим к границам Белоруссии и Украины одновременно.</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Миграционная убыль продолжает оставаться существенной причиной сокращения численности населения области. Это обусловлено оттоком трудоспособного населения из Брянской области в другие регионы - в январе - июле 2018 года число выбывших составило 22,7 тыс. человек (число выбывших в аналогичном периоде 2017 года составило 21,1 тыс. человек).</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Существующий и грядущий дефицит рабочей силы в условиях конкуренции на рынке труда с близлежащим экономическим мегаполисом (Москва, Московская область) является сдерживающим фактором для развития экономического потенциала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области происходит уменьшение численности трудоспособного населения в абсолютном значении, сокращается число детей и подростков, растет число пожилых людей.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Снижение трудоресурсного потенциала области обуславливает необходимость увеличения иммиграции для его восполнения.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Возможности привлечения трудовых ресурсов из соседних регионов Российской Федерации на сегодняшний день крайне ограничены в силу аналогичных социально-демографических причин.</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Низкий уровень рождаемости и высокий уровень смертности наблюдается как в Российской Федерации, так и в Брянской области, что обуславливает естественную убыль населения как в городской, так и в сельской местности. В 2018 году количество зарегистрированных по смерти превысило число зарегистрированных по рождению на 4,1 тыс. человек.</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 состоянию на 1 октября 2018 года на территории области осуществляют трудовую деятельность 6,8 тыс. человек из числа иностранных граждан (удельный вес иностранных работников в общем составе занятых составляет 1%), в том числе без разрешительных документов - 4,6 тыс. человек, на основании разрешений на работу и патентов - 2,2 тыс. человек.</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Брянская область активно участвует в реализации 4-х крупномасштабных национальных проектов: по повышению доступности жилья, улучшению состояния здоровья граждан, повышению качества образования и развития села, имеющих общую цель - повышение качества жизни и предотвращение депопуляции населения.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связи с включением сельскохозяйственной отрасли в число приоритетных нацпроектов активизация инвестиционных процессов заметно улучшила ситуацию в агропромышленном комплексе региона.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Сфера мелкого и среднего предпринимательства, фермерского хозяйства на территории Брянской области поддерживается ведомственными целевыми программами, которыми предусмотрено оказание грантовой поддержки начинающим предпринимателям. По условиям программы каждый получатель гранта должен создать микропредприятие, что также потребует привлечения дополнительных трудовых ресурсов в регион.</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 долю рабочих профессий в общей потребности экономики области в кадрах приходится 74%.</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последние годы появилась востребованность в инженерных кадрах, технологах, мастерах, то есть в специалистах высшего и среднего звена.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Задача воспроизводства квалифицированных кадров, в том числе привлечение на село молодых специалистов, является актуальной проблемой не только для России в целом, но и для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Численность занятых трудовой деятельностью граждан в июне - августе 2018 года составила 596,6 тыс. человек.</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Численность не занятых трудовой деятельностью граждан, состоящих на учете в органах государственной службы занятости, на 1 октября 2018 года составила 5,75 тыс. человек. При этом численность официально зарегистрированных безработных составила 5,05 тыс. человек (на 1 октября 2017 г. - 6,05 тыс. человек). Уровень официально регистрируемой безработицы составил 0,8% к численности экономически активного населения (на 1 октября 2017 г. - 1,0%).</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Коэффициент напряженности на рынке труда составил 0,6 не занятых трудовой деятельностью граждан в расчете на одну вакансию (на 1 октября 2017 г. - 0,7).</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Наиболее востребованными профессиями на рынке труда области являются: водитель, тракторист, жиловщик мяса и субпродуктов, обвальщик мяса, стропальщик, оператор животноводческих комплексов и механизированных ферм, слесарь механосборочных работ, слесарь-ремонтник, врачи разных специализаций, медицинская сестра и др.</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Возможности занятия предпринимательской деятельностью участниками Государственной программы и членами их семей, переселяющимися в область, определяются Гражданским </w:t>
      </w:r>
      <w:hyperlink r:id="rId2">
        <w:r>
          <w:rPr>
            <w:rFonts w:eastAsia="Times New Roman" w:cs="Times New Roman" w:ascii="Times New Roman" w:hAnsi="Times New Roman"/>
            <w:sz w:val="28"/>
            <w:szCs w:val="28"/>
          </w:rPr>
          <w:t>кодексом</w:t>
        </w:r>
      </w:hyperlink>
      <w:r>
        <w:rPr>
          <w:rFonts w:eastAsia="Times New Roman" w:cs="Times New Roman" w:ascii="Times New Roman" w:hAnsi="Times New Roman"/>
          <w:sz w:val="28"/>
          <w:szCs w:val="28"/>
        </w:rPr>
        <w:t xml:space="preserve">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Участники Государственной программы и члены их семей, переселяющиеся в Брянскую область, могут пройти обучение по основным общеобразовательным программам, основным профессиональным образовательным программам, основным программам профессионального обучения и дополнительным образовательным программам.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 основным общеобразовательным программам относятся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 основным профессиональным образовательным программам относятся: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 основным программам профессионального обучения относятся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 дополнительным образовательным программам относятся: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дополнительные общеобразовательные программы - дополнительные общеразвивающие программы, дополнительные предпрофессиональные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дополнительные профессиональные программы - программы повышения квалификации, программы профессиональной переподготовки.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2017/18 учебном году в области функционировало 5 образовательных организаций высшего образования и 10 филиалов образовательных организаций высшего образования, прием на обучение проводился на конкурсной основе.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соответствии с принципом единства научного и образовательного процесса проводятся соответствующие научно-образовательные мероприятия, формулируются темы научных работ и выпускных квалификационных работ студентов.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 время обучения студенты имеют возможность, а при освоении образовательных программ высшего образования (магистратуры и аспирантуры) в обязательном порядке участвовать в проведении научных исследований на базе кафедр образовательных организаций высшего образования.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2017/18 учебном году реализация образовательных программ среднего профессионального образования в Брянской области осуществлялась в 35 образовательных организациях (25 профессиональных образовательных организациях и 10 филиалах образовательных организаций высшего образования).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Подготовка кадров в профессиональных образовательных организациях, подведомственных департаменту образования и науки Брянской области, осуществляется по 88 профессиям и специальностям.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 базе 16 профессиональных образовательных организациях созданы учебные центры прикладных квалификаций. Ежегодно в данных учебных центрах проходят программы повышения квалификации, программы профессиональной переподготовки около 3,5 тыс. человек из числа взрослого и незанятого населения.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соответствии с Федеральным </w:t>
      </w:r>
      <w:hyperlink r:id="rId3">
        <w:r>
          <w:rPr>
            <w:rFonts w:eastAsia="Times New Roman" w:cs="Times New Roman" w:ascii="Times New Roman" w:hAnsi="Times New Roman"/>
            <w:sz w:val="28"/>
            <w:szCs w:val="28"/>
          </w:rPr>
          <w:t>законом</w:t>
        </w:r>
      </w:hyperlink>
      <w:r>
        <w:rPr>
          <w:rFonts w:eastAsia="Times New Roman" w:cs="Times New Roman" w:ascii="Times New Roman" w:hAnsi="Times New Roman"/>
          <w:sz w:val="28"/>
          <w:szCs w:val="28"/>
        </w:rPr>
        <w:t xml:space="preserve"> от 19 мая 1995 года № 81-ФЗ «О государственных пособиях гражданам, имеющим детей» установлены различные виды пособий лицам, имеющим детей. Действие данного Закона распространяется 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 Российской Федерации, проживающих на территории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таможенных органах, и гражданский персонал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постоянно проживающих на территории Российской Федерации иностранных граждан и лиц без гражданства, а также беженцев;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временно проживающих на территории Российской Федерации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Устанавливаются следующие виды государственных пособий: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пособие по беременности и родам;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женщинам, вставшим на учет в медицинских организациях в ранние сроки беременности;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при рождении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по уходу за ребенком;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на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при передаче ребенка на воспитание в семью;</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беременной жене военнослужащего, проходящего военную службу по призыву;</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на ребенка военнослужащего, проходящего военную службу по призыву.</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соответствии с </w:t>
      </w:r>
      <w:hyperlink r:id="rId4">
        <w:r>
          <w:rPr>
            <w:rFonts w:eastAsia="Times New Roman" w:cs="Times New Roman" w:ascii="Times New Roman" w:hAnsi="Times New Roman"/>
            <w:sz w:val="28"/>
            <w:szCs w:val="28"/>
          </w:rPr>
          <w:t>Законом</w:t>
        </w:r>
      </w:hyperlink>
      <w:r>
        <w:rPr>
          <w:rFonts w:eastAsia="Times New Roman" w:cs="Times New Roman" w:ascii="Times New Roman" w:hAnsi="Times New Roman"/>
          <w:sz w:val="28"/>
          <w:szCs w:val="28"/>
        </w:rPr>
        <w:t xml:space="preserve"> Брянской области от 20 февраля 2008 года          № 12-З «Об охране семьи, материнства, отцовства и детства в Брянской области» также установлены различные виды пособий лицам, имеющим детей, на региональном уровне.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Положения данного Закона распространяются 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 Российской Федерации, зарегистрированных по постоянному месту жительства на территории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постоянно проживающих на территории Брянской области иностранных граждан и лиц без гражданства, а также беженцев;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временно проживающих на территории Брянской области и подлежащих обязательному социальному страхованию иностранных граждан и лиц без гражданства.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Согласно вышеназванному Закону устанавливаются следующие виды пособий и иные выплаты: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зарегистрированной многодетной семье при рождении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на школьников из многодетной малообеспеченной семьи к началу учебного года;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на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дополнительное единовременное пособие при рождении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дополнительное ежемесячное пособие по уходу за ребенком-инвалидом;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ежемесячная денежная выплата при рождении (усыновлении) третьего ребенка или последующих детей, родившихся (усыновленных) после 31 декабря 2012 года.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Медицинская помощь населению Брянской области предоставляется бесплатно в соответствии с ежегодно утверждаемой территориальной программой государственных гарантий бесплатного оказания гражданам медицинской помощи (далее - территориальная программа).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На 2019 год и на плановый период 2020 - 2021 годов территориальная </w:t>
      </w:r>
      <w:hyperlink r:id="rId5">
        <w:r>
          <w:rPr>
            <w:rFonts w:eastAsia="Times New Roman" w:cs="Times New Roman" w:ascii="Times New Roman" w:hAnsi="Times New Roman"/>
            <w:sz w:val="28"/>
            <w:szCs w:val="28"/>
          </w:rPr>
          <w:t>программа</w:t>
        </w:r>
      </w:hyperlink>
      <w:r>
        <w:rPr>
          <w:rFonts w:eastAsia="Times New Roman" w:cs="Times New Roman" w:ascii="Times New Roman" w:hAnsi="Times New Roman"/>
          <w:sz w:val="28"/>
          <w:szCs w:val="28"/>
        </w:rPr>
        <w:t xml:space="preserve"> утверждена постановлением Правительства Брянской области              от 27 декабря 2018 года № 702-п.</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Предоставление участникам Государственной программы и членам их семей медицинской помощи в рамках программ государственных гарантий бесплатного оказания гражданам медицинской помощи осуществляется в соответствии с Федеральными законами от 29 ноября 2010 года </w:t>
      </w:r>
      <w:hyperlink r:id="rId6">
        <w:r>
          <w:rPr>
            <w:rFonts w:eastAsia="Times New Roman" w:cs="Times New Roman" w:ascii="Times New Roman" w:hAnsi="Times New Roman"/>
            <w:sz w:val="28"/>
            <w:szCs w:val="28"/>
          </w:rPr>
          <w:t>№</w:t>
        </w:r>
      </w:hyperlink>
      <w:r>
        <w:rPr>
          <w:rFonts w:eastAsia="Times New Roman" w:cs="Times New Roman" w:ascii="Times New Roman" w:hAnsi="Times New Roman"/>
          <w:sz w:val="28"/>
          <w:szCs w:val="28"/>
        </w:rPr>
        <w:t xml:space="preserve"> «Об обязательном медицинском страховании в Российской Федерации»,                  от 21 ноября 2011 года </w:t>
      </w:r>
      <w:hyperlink r:id="rId7">
        <w:r>
          <w:rPr>
            <w:rFonts w:eastAsia="Times New Roman" w:cs="Times New Roman" w:ascii="Times New Roman" w:hAnsi="Times New Roman"/>
            <w:sz w:val="28"/>
            <w:szCs w:val="28"/>
          </w:rPr>
          <w:t>№</w:t>
        </w:r>
      </w:hyperlink>
      <w:r>
        <w:rPr>
          <w:rFonts w:eastAsia="Times New Roman" w:cs="Times New Roman" w:ascii="Times New Roman" w:hAnsi="Times New Roman"/>
          <w:sz w:val="28"/>
          <w:szCs w:val="28"/>
        </w:rPr>
        <w:t xml:space="preserve"> «Об основах охраны здоровья граждан в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 является полис обязательного медицинского страхования. До получения полиса обязательного медицинского страхования участник Государственной программы и члены его семьи имеют право на оказание им медицинскими организациями государственной и муниципальной систем здравоохранения бесплатной скорой, в том числе скорой специализированной, медицинской помощи при заболеваниях, несчастных случаях, травмах, отравлениях и других состояниях, требующих срочного медицинского вмешательства, а также медицинской помощи в экстренной форме, оказываемой медицинскими организациями при внезапных острых заболеваниях, состояниях, обострении хронических заболеваний, представляющих угрозу жизни пациента.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Медицинская помощь в неотложной форме (за исключением скорой, в том числе скорой специализированной, медицинской помощи) и плановой форме до получения полиса обязательного медицинского страхования оказывается участникам Государственной программы и членам их семей в соответствии с договорами о предоставлении платных медицинских услуг либо договорами добровольного медицинского страхования.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Департамент здравоохранения Брянской области организует обследование иностранных граждан и лиц без гражданства для определения отсутствия (наличия) ВИЧ-инфекции, а также выдачу сертификата об отсутствии у данного иностранного гражданина заболевания, вызываемого вирусом иммунодефицита человека (ВИЧ-инфекции), обследование и выдачу документов, подтверждающих отсутствие у данного иностранного гражданина заболевания наркоманией, и медицинское освидетельствование в соответствии с </w:t>
      </w:r>
      <w:hyperlink r:id="rId8">
        <w:r>
          <w:rPr>
            <w:rFonts w:eastAsia="Times New Roman" w:cs="Times New Roman" w:ascii="Times New Roman" w:hAnsi="Times New Roman"/>
            <w:sz w:val="28"/>
            <w:szCs w:val="28"/>
          </w:rPr>
          <w:t>Приказом</w:t>
        </w:r>
      </w:hyperlink>
      <w:r>
        <w:rPr>
          <w:rFonts w:eastAsia="Times New Roman" w:cs="Times New Roman" w:ascii="Times New Roman" w:hAnsi="Times New Roman"/>
          <w:sz w:val="28"/>
          <w:szCs w:val="28"/>
        </w:rPr>
        <w:t xml:space="preserve"> Министерства здравоохранения Российской Федерации от 29 июня 2015 года № 384н «Об утверждении перечня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иностранных граждан и лиц без гражданства, или вида на жительство, или патента, или разрешения на работу в Российской Федерации, а также порядка подтверждения их наличия или отсутствия, а также формы медицинского заключения о наличии (об отсутствии) указанных заболеваний».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Участники государственной программы и члены их семей для получения медицинских услуг обращаются в медицинские организации по месту размещения.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временного размещения прибывших участников Государственной программы и членов их семей используются гостиницы, общежития, жилье на условиях найма. Обеспечение участников Государственной программы и членов их семей постоянным жильем на территории области решается за счет их собственных средств, а также с привлечением заемных и кредитных ресурсов.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Участникам Государственной программы и членам их семей оказывается информационное содействие: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подборе вариантов временного жилищного размещения (гостиницы, хостелы, общежития, аренда жилья у физических лиц);</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приобретении постоянного жилья, в том числе с использованием ипотечного кредитования и в подборе вариантов приобретения земельных участков в собственность (за счет собственных средств участников государственной программы, ипотечных кредитов) в соответствии с действующим законодательством.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Негативный процесс оттока местного населения с приграничных территорий разрушает трудовой потенциал приграничных территорий региона, а также ухудшает демографическую структуру населения. При этом численность населения области, как и в целом в Российской Федерации, сокращается.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Прогноз демографического развития Брянской области на период до 2025 года показывает, что основными следствиями суженного воспроизводства и старения населения будут являться: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дальнейшие потери общей численности населения Брянской области, в том числе сельского;</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значительные потери части населения трудоспособного возраста, особенно мужчин 25 - 39 лет;</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превышение числа умерших над числом родившихся.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Вследствие высокой инерции демографических процессов отмеченные тенденции будут сохраняться до 2025 года.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Налаженный механизм добровольного переселения соотечественников служит обоюдным интересам как переселенцев, так и самой Брянской области, и позволит стимулировать соотечественников к переезду в Российскую Федерацию в целях обеспечения экономики региона необходимыми трудовыми и кадровыми ресурсами. Количество участников Государственной программы и членов их семей, переселившихся в Брянскую область, составит 2,16 тыс. человек, что позволит перекрыть большую часть миграционной убыли населения в регионе.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Необходимость привлечения в Брянскую область соотечественников, проживающих за рубежом, обусловлена также экономическими преобразованиями, происходящими в регионе. Дальнейшая активная работа с иностранными и российскими инвесторами позволяет прогнозировать последующий рост инвестиций в основной капитал, создание новых рабочих мест и, как следствие, увеличение привлечения работников, в том числе высококвалифицированных.</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Реализация на территории области Государственной программы может стать решением вопроса стабилизации численности населения региона.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связи с этим приобретает особую актуальность вопрос привлечения в экономику Брянской области соотечественников, проживающих за рубежом, в большинстве своем воспитанных в традициях русской культуры и уважения к российской государственности, владеющих русским языком и не желающих терять связь с Россией. Эти лица обладают наибольшими возможностями по адаптации и скорейшему включению в систему позитивных социальных связей принимающего сообщества.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Реализация подпрограммы будет способствовать обеспечению экономики области квалифицированной рабочей силой, успешной реализации намеченных в среднесрочной перспективе планов инвестиционной деятельности, а также улучшению демографической ситуации.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Территорией вселения является вся Брянская область, что значительно расширяет возможности соотечественников в выборе места жительства и работы.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 реализацию подпрограммы могут повлиять следующие риски: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безработица среди участников Государственной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жилищная  необустроенность участников Государственной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неготовность принимающего сообщества к приезду участников Государственной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несоответствие реальной квалификации или деятельности участника Государственной программы квалификации или деятельности, заявленных соотечественником;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выезд участников Государственной программы и (или) членов его семьи на постоянное место жительства из Брянской области ранее чем через три года со дня постановки на учет в УМВД России по Брянской области в качестве участника Государственной программы и (или) члена его семьи.</w:t>
      </w:r>
    </w:p>
    <w:p>
      <w:pPr>
        <w:pStyle w:val="Normal"/>
        <w:widowControl w:val="false"/>
        <w:spacing w:lineRule="auto" w:line="240" w:before="0" w:after="0"/>
        <w:ind w:firstLine="720"/>
        <w:jc w:val="both"/>
        <w:rPr>
          <w:rFonts w:ascii="Times New Roman" w:hAnsi="Times New Roman" w:eastAsia="Times New Roman" w:cs="Times New Roman"/>
          <w:sz w:val="16"/>
          <w:szCs w:val="16"/>
        </w:rPr>
      </w:pPr>
      <w:r>
        <w:rPr>
          <w:rFonts w:eastAsia="Times New Roman" w:cs="Times New Roman" w:ascii="Times New Roman" w:hAnsi="Times New Roman"/>
          <w:sz w:val="16"/>
          <w:szCs w:val="16"/>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Оценка готовности Брянской области к приему</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участников Государственной программы и членов их семей</w:t>
      </w:r>
    </w:p>
    <w:p>
      <w:pPr>
        <w:pStyle w:val="Normal"/>
        <w:widowControl w:val="false"/>
        <w:spacing w:lineRule="auto" w:line="240" w:before="0" w:after="0"/>
        <w:ind w:firstLine="720"/>
        <w:jc w:val="both"/>
        <w:rPr>
          <w:rFonts w:ascii="Times New Roman" w:hAnsi="Times New Roman" w:eastAsia="Times New Roman" w:cs="Times New Roman"/>
          <w:sz w:val="16"/>
          <w:szCs w:val="16"/>
        </w:rPr>
      </w:pPr>
      <w:r>
        <w:rPr>
          <w:rFonts w:eastAsia="Times New Roman" w:cs="Times New Roman" w:ascii="Times New Roman" w:hAnsi="Times New Roman"/>
          <w:sz w:val="16"/>
          <w:szCs w:val="16"/>
        </w:rPr>
      </w:r>
    </w:p>
    <w:tbl>
      <w:tblPr>
        <w:tblW w:w="9798"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629"/>
        <w:gridCol w:w="2910"/>
        <w:gridCol w:w="793"/>
        <w:gridCol w:w="1333"/>
        <w:gridCol w:w="4133"/>
      </w:tblGrid>
      <w:tr>
        <w:trPr>
          <w:trHeight w:val="1192" w:hRule="atLeast"/>
        </w:trPr>
        <w:tc>
          <w:tcPr>
            <w:tcW w:w="6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п/п</w:t>
            </w:r>
          </w:p>
        </w:tc>
        <w:tc>
          <w:tcPr>
            <w:tcW w:w="29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Наименование показателя</w:t>
            </w:r>
          </w:p>
        </w:tc>
        <w:tc>
          <w:tcPr>
            <w:tcW w:w="7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13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Единица измерения</w:t>
            </w:r>
          </w:p>
        </w:tc>
        <w:tc>
          <w:tcPr>
            <w:tcW w:w="4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Значение показателя по территории Брянской области на последнюю отчетную дату (за последний отчетный период)</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Общая численность населения на 1 января текущего года</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тыс. чел.</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1225,7</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1220,5</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1211,0</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Естественный(ая) прирост (убыль) населения</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чел.</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-5678</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-7070</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r>
        <w:trPr>
          <w:trHeight w:val="1394" w:hRule="atLeast"/>
        </w:trPr>
        <w:tc>
          <w:tcPr>
            <w:tcW w:w="6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w:t>
            </w:r>
          </w:p>
        </w:tc>
        <w:tc>
          <w:tcPr>
            <w:tcW w:w="29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Миграционный(ая) прирост (убыль) населения</w:t>
            </w:r>
          </w:p>
        </w:tc>
        <w:tc>
          <w:tcPr>
            <w:tcW w:w="7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чел.</w:t>
            </w:r>
          </w:p>
        </w:tc>
        <w:tc>
          <w:tcPr>
            <w:tcW w:w="4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467</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-2478</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-3651</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Удельный вес численности трудоспособного населения в общей численности населения</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56,2</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55,8</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55,1</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Удельный вес занятых в экономике в общей численности трудоспособного населения</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56,2</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55,8</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55,1</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Общая численность безработных (по методологии Международной организации труда (далее - МОТ)</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тыс. чел.</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28,7</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27,0</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25,0</w:t>
            </w:r>
          </w:p>
        </w:tc>
      </w:tr>
      <w:tr>
        <w:trPr>
          <w:trHeight w:val="1394" w:hRule="atLeast"/>
        </w:trPr>
        <w:tc>
          <w:tcPr>
            <w:tcW w:w="6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w:t>
            </w:r>
          </w:p>
        </w:tc>
        <w:tc>
          <w:tcPr>
            <w:tcW w:w="29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Уровень общей безработицы (по методологии МОТ)</w:t>
            </w:r>
          </w:p>
        </w:tc>
        <w:tc>
          <w:tcPr>
            <w:tcW w:w="7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w:t>
            </w:r>
          </w:p>
        </w:tc>
        <w:tc>
          <w:tcPr>
            <w:tcW w:w="4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4,6</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4,4</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4,1</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8.</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Численность граждан, признанных безработными государственными учреждениями службы занятости населения</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чел.</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13848</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10701</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9127</w:t>
            </w:r>
          </w:p>
        </w:tc>
      </w:tr>
      <w:tr>
        <w:trPr>
          <w:trHeight w:val="1932" w:hRule="atLeast"/>
        </w:trPr>
        <w:tc>
          <w:tcPr>
            <w:tcW w:w="6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9.</w:t>
            </w:r>
          </w:p>
        </w:tc>
        <w:tc>
          <w:tcPr>
            <w:tcW w:w="29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Уровень регистрируемой безработицы от экономически активного населения</w:t>
            </w:r>
          </w:p>
        </w:tc>
        <w:tc>
          <w:tcPr>
            <w:tcW w:w="7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w:t>
            </w:r>
          </w:p>
        </w:tc>
        <w:tc>
          <w:tcPr>
            <w:tcW w:w="4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1,2</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0,9</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0,8</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r>
        <w:trPr>
          <w:trHeight w:val="858" w:hRule="atLeast"/>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Напряженность на рынке труда (число безработных на 1 вакансию)</w:t>
            </w:r>
          </w:p>
        </w:tc>
        <w:tc>
          <w:tcPr>
            <w:tcW w:w="79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чел.</w:t>
            </w:r>
          </w:p>
        </w:tc>
        <w:tc>
          <w:tcPr>
            <w:tcW w:w="413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0,8</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0,7</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0,5</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11.</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Численность привлеченных иностранных работников</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чел.</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4869</w:t>
            </w:r>
          </w:p>
        </w:tc>
      </w:tr>
      <w:tr>
        <w:trPr>
          <w:trHeight w:val="858" w:hRule="atLeast"/>
        </w:trPr>
        <w:tc>
          <w:tcPr>
            <w:tcW w:w="62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3456</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4088</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12.</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Прожиточный минимум (в среднем на душу населения)</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руб.</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9098,75</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9535,5</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9787,2</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13.</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Количество жилья в среднем на 1 жителя</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кв. м</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28,7</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29,4</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29,8</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14.</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Количество постоянного жилья для приема участников Государственной программы и членов их семей</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кв. м</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r>
        <w:trPr>
          <w:trHeight w:val="858" w:hRule="atLeast"/>
        </w:trPr>
        <w:tc>
          <w:tcPr>
            <w:tcW w:w="62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Количество временного жилья для приема участников Государственной программы и членов их семей</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кв. м</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r>
        <w:trPr/>
        <w:tc>
          <w:tcPr>
            <w:tcW w:w="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r>
        <w:trPr/>
        <w:tc>
          <w:tcPr>
            <w:tcW w:w="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16.</w:t>
            </w:r>
          </w:p>
        </w:tc>
        <w:tc>
          <w:tcPr>
            <w:tcW w:w="29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Количество мест в учреждениях дошкольного образования на 1 тыс. детей дошкольного возраста</w:t>
            </w:r>
          </w:p>
        </w:tc>
        <w:tc>
          <w:tcPr>
            <w:tcW w:w="79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2016</w:t>
            </w:r>
          </w:p>
        </w:tc>
        <w:tc>
          <w:tcPr>
            <w:tcW w:w="13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мест</w:t>
            </w:r>
          </w:p>
        </w:tc>
        <w:tc>
          <w:tcPr>
            <w:tcW w:w="4133"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807</w:t>
            </w:r>
          </w:p>
        </w:tc>
      </w:tr>
      <w:tr>
        <w:trPr/>
        <w:tc>
          <w:tcPr>
            <w:tcW w:w="629"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2017</w:t>
            </w:r>
          </w:p>
        </w:tc>
        <w:tc>
          <w:tcPr>
            <w:tcW w:w="1333" w:type="dxa"/>
            <w:tcBorders>
              <w:left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810</w:t>
            </w:r>
          </w:p>
        </w:tc>
      </w:tr>
      <w:tr>
        <w:trPr/>
        <w:tc>
          <w:tcPr>
            <w:tcW w:w="62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910"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793"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tc>
        <w:tc>
          <w:tcPr>
            <w:tcW w:w="1333"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4133"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bl>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II. Цели, задачи, сроки (этапы) и показатели (индикаторы)</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достижения целей и решения задач подпрограммы</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Цели подпрограммы: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 Обеспечение реализации Государственной программы на территории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 Обеспечение социально-экономического развития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 Улучшение демографической ситуации в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Задачами подпрограммы являются: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 Закрепление переселившихся участников Государственной программы в Брянской области и обеспечение их социально-культурной адаптации и интеграции в российское общество.</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 Сокращение дефицита квалифицированных кадров.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 Развитие агропромышленного производства.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 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Срок реализации подпрограммы - 2019 - 2024 годы.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Достижение поставленных подпрограммой целей будет оцениваться по следующим целевым показателям: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 Численность участников Государственной программы, прибывших в Брянскую область и поставленных на учет в УМВД России по Брянской области, чел.</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 Численность участников Государственной программы и членов их семей, прибывших в Брянскую область и поставленных на учет в УМВД России по Брянской области, чел.</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 Доля участников Государственной программы и членов их семей, имеющих среднее профессиональное или высшее образование в общем количестве прибывших в Брянскую область участников Государственной программы и членов их семей, %.</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 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общего числа участников Государственной программы и членов их семей в возрастной категории до 25 лет, %.</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 Количество проведенных уполномоченным органом презентаций подпрограммы к 2024 году, шт.</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6.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 %.</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7. 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 %.</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8. Доля участников Государственной программы и членов их семей, охваченных мероприятиями, направленными на социальную, культурную адаптацию и интеграцию в принимающее сообщество, от общего числа обратившихся в уполномоченный орган участников Государственной программы и членов их семей за данной поддержкой, %.</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Система целевых индикаторов с указанием их значений по годам планового периода приведена в приложении 2 к подпрограмме.</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III. Основные мероприятия по реализации подпрограммы</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Система мероприятий подпрограммы направлена на достижение целей подпрограммы и решение поставленных задач, для решения которых планируется выполнение следующих мероприятий: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предоставление участникам Государственной программы и членам их семей услуг в области содействия занятости населения в 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организации проведения оплачиваемых общественных работ, ярмарок вакансий и учебных рабочих мест, информирования о положении на рынке труда в Брянской области в соответствии с законодательством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организация дополнительного профессионального образования участников Государственной программы и членов их семей, прибывших в Брянскую область;</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содействие началу осуществления предпринимательской деятельности участников Государственной программы и членов их семей,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содействие в жилищном обустройстве участников Государственной программы и членов их семей;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обеспечение детей участников Государственной программы местами в дошкольных образовательных организациях и общеобразовательных организациях;</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единовременная выплата участникам Государственной программы и членам их семей;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информационное обеспечение реализации подпрограммы, предоставление информационных, консультационных, юридических и других услуг участникам Государственной программы и членам их семей;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проведение презентаций подпрограммы;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мониторинг и размещение в информационно-телекоммуникационной сети «Интернет», в том числе на портале автоматизированной информационной системы «Соотечественники», информации об уровне обеспеченности трудовыми ресурсами отдельных территорий, возможности трудоустройства и получения профессионального образования, оказания социальной поддержки, временного и постоянного жилищного обустройства участников государственной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разработка, издание, направление в консульские учреждения Российской Федерации и уполномоченные органы по вопросам миграции за рубежом, муниципальные образования области информационных материалов (буклетов, памяток и т.д.).</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Перечень основных мероприятий подпрограммы приведен в приложении 3 к подпрограмме.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рамках мер государственного регулирования предусматривается разработка проектов новых нормативных правовых актов Брянской области и нормативных правовых актов, вносящих изменения в нормативные правовые акты Брянской области, принятие которых необходимо для реализации подпрограммы.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Координационным органом, обеспечивающим согласованность работы органов  исполнительной  власти Брянской области с федеральными органами исполнительной власти и их территориальными органами, органами местного самоуправления муниципальных образований, работодателями, общественными объединениями при решении задач, связанных с реализацией подпрограммы, является межведомственная </w:t>
      </w:r>
      <w:hyperlink r:id="rId9">
        <w:r>
          <w:rPr>
            <w:rFonts w:eastAsia="Times New Roman" w:cs="Times New Roman" w:ascii="Times New Roman" w:hAnsi="Times New Roman"/>
            <w:sz w:val="28"/>
            <w:szCs w:val="28"/>
          </w:rPr>
          <w:t>комиссия</w:t>
        </w:r>
      </w:hyperlink>
      <w:r>
        <w:rPr>
          <w:rFonts w:eastAsia="Times New Roman" w:cs="Times New Roman" w:ascii="Times New Roman" w:hAnsi="Times New Roman"/>
          <w:sz w:val="28"/>
          <w:szCs w:val="28"/>
        </w:rPr>
        <w:t xml:space="preserve"> по работе с соотечественниками, созданная распоряжением администрации Брянской области от 18 февраля 2019 года  № 27-рп «О межведомственной комиссии по вопросам реализации подпрограммы «Оказание содействия добровольному переселению в Брянскую область соотечественников, проживающих за рубежом»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Контроль за реализацией подпрограммы осуществляется Губернатором Брянской области и управлением государственной службы по труду и занятости населения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Организация управления подпрограммой и контроль за ходом ее реализации направлены на координацию выполнения мероприятий подпрограммы, включая мониторинг их реализации, оценку результативности, непосредственный контроль за ходом выполнения мероприятий подпрограммы, подготовку отчетов о реализации подпрограммы, внесение предложений по корректировке подпрограммы.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Формами и методами осуществления контроля за реализацией подпрограммы являются: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оценка реализации подпрограммы, определяемая в соответствии с показателями и критериями, установленными в подпрограмме;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анализ хода реализации подпрограммных мероприятий, проводимый на основе сопоставления прогнозно-целевых показателей подпрограммы и фактически достигнутых результатов, а также оценки влияния результатов реализации подпрограммы на уровень экономического и социального развития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Одной из мер социальной поддержки участников Государственной программы и членов их семей является единовременная выплата.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Порядок предоставления единовременной выплаты утвержден постановлением Правительства Брянской области от 31 августа 2020 года № 418-п «Об утверждении Порядка предоставления единовременной выплаты участникам подпрограммы «Оказание содействия добровольному переселению в Брянскую область соотечественников, проживающих за рубежом»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 и членам их семей.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Перечень нормативных правовых актов, принятых в Брянской области в целях реализации подпрограммы, приведен в приложении 4 к подпрограмме.</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numPr>
          <w:ilvl w:val="0"/>
          <w:numId w:val="0"/>
        </w:numPr>
        <w:spacing w:lineRule="auto" w:line="240" w:before="0" w:after="0"/>
        <w:jc w:val="center"/>
        <w:outlineLvl w:val="0"/>
        <w:rPr>
          <w:rFonts w:ascii="Times New Roman" w:hAnsi="Times New Roman" w:cs="Times New Roman"/>
          <w:sz w:val="28"/>
          <w:szCs w:val="28"/>
          <w:lang w:eastAsia="ru-RU"/>
        </w:rPr>
      </w:pPr>
      <w:r>
        <w:rPr>
          <w:rFonts w:cs="Times New Roman" w:ascii="Times New Roman" w:hAnsi="Times New Roman"/>
          <w:sz w:val="28"/>
          <w:szCs w:val="28"/>
          <w:lang w:eastAsia="ru-RU"/>
        </w:rPr>
        <w:t>IV. Объемы финансовых ресурсов на реализацию подпрограммы</w:t>
      </w:r>
    </w:p>
    <w:p>
      <w:pPr>
        <w:pStyle w:val="Normal"/>
        <w:spacing w:lineRule="auto" w:line="240" w:before="0" w:after="0"/>
        <w:ind w:firstLine="540"/>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Объем средств, предусмотренных на реализацию подпрограммы: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2019 год - 5000000,00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2020 год - 3900000,00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2021 год - 2200000,00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2022 год - 2200000,00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2023 год - 2200000,00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2024 год - 2200000,00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в том числе средства федерального бюджета:</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2019 год - 4600000,00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2020 год - 3588000,00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2021 год - 2024000,00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2022 год - 2068000,00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2022 год - 2068000,00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2023 год - 2068000,00 рубля.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Использование средств федерального бюджета на финансирование мероприятий подпрограммы осуществляется в соответствии с соглашением между Министерством внутренних дел Российской Федерации и Правительством Брянской области о предоставлении субсидии из федерального бюджета на реализацию основных мероприятий подпрограммы, включенной в Государственную программу.</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Объемы финансовых ресурсов на реализацию основных мероприятий подпрограммы приведены в приложении 5 к паспорту подпрограммы.</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V. Оценка планируемой эффективности</w:t>
      </w:r>
    </w:p>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и риски реализации подпрограммы</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Эффективность реализации мероприятий подпрограммы определяется по следующей формуле:</w:t>
      </w:r>
    </w:p>
    <w:p>
      <w:pPr>
        <w:pStyle w:val="Normal"/>
        <w:widowControl w:val="false"/>
        <w:spacing w:lineRule="auto" w:line="240" w:before="0" w:after="0"/>
        <w:ind w:firstLine="720"/>
        <w:jc w:val="both"/>
        <w:rPr>
          <w:rFonts w:ascii="Times New Roman" w:hAnsi="Times New Roman" w:eastAsia="Times New Roman" w:cs="Times New Roman"/>
          <w:sz w:val="8"/>
          <w:szCs w:val="8"/>
        </w:rPr>
      </w:pPr>
      <w:r>
        <w:rPr>
          <w:rFonts w:eastAsia="Times New Roman" w:cs="Times New Roman" w:ascii="Times New Roman" w:hAnsi="Times New Roman"/>
          <w:sz w:val="8"/>
          <w:szCs w:val="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drawing>
          <wp:inline distT="0" distB="0" distL="0" distR="0">
            <wp:extent cx="1047750" cy="514350"/>
            <wp:effectExtent l="0" t="0" r="0" b="0"/>
            <wp:docPr id="1" name="Рисунок 1" descr="base_23753_60099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base_23753_60099_32768"/>
                    <pic:cNvPicPr>
                      <a:picLocks noChangeAspect="1" noChangeArrowheads="1"/>
                    </pic:cNvPicPr>
                  </pic:nvPicPr>
                  <pic:blipFill>
                    <a:blip r:embed="rId10"/>
                    <a:stretch>
                      <a:fillRect/>
                    </a:stretch>
                  </pic:blipFill>
                  <pic:spPr bwMode="auto">
                    <a:xfrm>
                      <a:off x="0" y="0"/>
                      <a:ext cx="1047750" cy="514350"/>
                    </a:xfrm>
                    <a:prstGeom prst="rect">
                      <a:avLst/>
                    </a:prstGeom>
                  </pic:spPr>
                </pic:pic>
              </a:graphicData>
            </a:graphic>
          </wp:inline>
        </w:drawing>
      </w:r>
    </w:p>
    <w:p>
      <w:pPr>
        <w:pStyle w:val="Normal"/>
        <w:widowControl w:val="false"/>
        <w:spacing w:lineRule="auto" w:line="240" w:before="0" w:after="0"/>
        <w:ind w:firstLine="720"/>
        <w:jc w:val="both"/>
        <w:rPr>
          <w:rFonts w:ascii="Times New Roman" w:hAnsi="Times New Roman" w:eastAsia="Times New Roman" w:cs="Times New Roman"/>
          <w:sz w:val="8"/>
          <w:szCs w:val="8"/>
        </w:rPr>
      </w:pPr>
      <w:r>
        <w:rPr>
          <w:rFonts w:eastAsia="Times New Roman" w:cs="Times New Roman" w:ascii="Times New Roman" w:hAnsi="Times New Roman"/>
          <w:sz w:val="8"/>
          <w:szCs w:val="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En - планируемая эффективность хода реализации отдельного направления подпрограммы (%), характеризуемого n-м индикатором (показателем);</w:t>
      </w:r>
    </w:p>
    <w:p>
      <w:pPr>
        <w:pStyle w:val="Normal"/>
        <w:widowControl w:val="false"/>
        <w:spacing w:lineRule="auto" w:line="240" w:before="22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T</w:t>
      </w:r>
      <w:r>
        <w:rPr>
          <w:rFonts w:eastAsia="Times New Roman" w:cs="Times New Roman" w:ascii="Times New Roman" w:hAnsi="Times New Roman"/>
          <w:sz w:val="28"/>
          <w:szCs w:val="28"/>
          <w:vertAlign w:val="subscript"/>
        </w:rPr>
        <w:t>fn</w:t>
      </w:r>
      <w:r>
        <w:rPr>
          <w:rFonts w:eastAsia="Times New Roman" w:cs="Times New Roman" w:ascii="Times New Roman" w:hAnsi="Times New Roman"/>
          <w:sz w:val="28"/>
          <w:szCs w:val="28"/>
        </w:rPr>
        <w:t xml:space="preserve"> - фактическое значение n-го индикатора (показателя), характеризующего реализацию подпрограммы;</w:t>
      </w:r>
    </w:p>
    <w:p>
      <w:pPr>
        <w:pStyle w:val="Normal"/>
        <w:widowControl w:val="false"/>
        <w:spacing w:lineRule="auto" w:line="240" w:before="22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T</w:t>
      </w:r>
      <w:r>
        <w:rPr>
          <w:rFonts w:eastAsia="Times New Roman" w:cs="Times New Roman" w:ascii="Times New Roman" w:hAnsi="Times New Roman"/>
          <w:sz w:val="28"/>
          <w:szCs w:val="28"/>
          <w:vertAlign w:val="subscript"/>
        </w:rPr>
        <w:t>pn</w:t>
      </w:r>
      <w:r>
        <w:rPr>
          <w:rFonts w:eastAsia="Times New Roman" w:cs="Times New Roman" w:ascii="Times New Roman" w:hAnsi="Times New Roman"/>
          <w:sz w:val="28"/>
          <w:szCs w:val="28"/>
        </w:rPr>
        <w:t xml:space="preserve"> - плановое значение n-го индикатора (показателя);</w:t>
      </w:r>
    </w:p>
    <w:p>
      <w:pPr>
        <w:pStyle w:val="Normal"/>
        <w:widowControl w:val="false"/>
        <w:spacing w:lineRule="auto" w:line="240" w:before="22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n - номер индикатора (показателя) подпрограммы.</w:t>
      </w:r>
    </w:p>
    <w:p>
      <w:pPr>
        <w:pStyle w:val="Normal"/>
        <w:widowControl w:val="false"/>
        <w:spacing w:lineRule="auto" w:line="240" w:before="22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Интегральная оценка эффективности реализации подпрограммы определяется по следующей формуле:</w:t>
      </w:r>
    </w:p>
    <w:p>
      <w:pPr>
        <w:pStyle w:val="Normal"/>
        <w:widowControl w:val="false"/>
        <w:spacing w:lineRule="auto" w:line="240" w:before="0" w:after="0"/>
        <w:ind w:firstLine="720"/>
        <w:jc w:val="both"/>
        <w:rPr>
          <w:rFonts w:ascii="Times New Roman" w:hAnsi="Times New Roman" w:eastAsia="Times New Roman" w:cs="Times New Roman"/>
          <w:sz w:val="8"/>
          <w:szCs w:val="8"/>
        </w:rPr>
      </w:pPr>
      <w:r>
        <w:rPr>
          <w:rFonts w:eastAsia="Times New Roman" w:cs="Times New Roman" w:ascii="Times New Roman" w:hAnsi="Times New Roman"/>
          <w:sz w:val="8"/>
          <w:szCs w:val="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drawing>
          <wp:inline distT="0" distB="0" distL="0" distR="0">
            <wp:extent cx="1219200" cy="590550"/>
            <wp:effectExtent l="0" t="0" r="0" b="0"/>
            <wp:docPr id="2" name="Рисунок 2" descr="base_23753_60099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base_23753_60099_32769"/>
                    <pic:cNvPicPr>
                      <a:picLocks noChangeAspect="1" noChangeArrowheads="1"/>
                    </pic:cNvPicPr>
                  </pic:nvPicPr>
                  <pic:blipFill>
                    <a:blip r:embed="rId11"/>
                    <a:stretch>
                      <a:fillRect/>
                    </a:stretch>
                  </pic:blipFill>
                  <pic:spPr bwMode="auto">
                    <a:xfrm>
                      <a:off x="0" y="0"/>
                      <a:ext cx="1219200" cy="590550"/>
                    </a:xfrm>
                    <a:prstGeom prst="rect">
                      <a:avLst/>
                    </a:prstGeom>
                  </pic:spPr>
                </pic:pic>
              </a:graphicData>
            </a:graphic>
          </wp:inline>
        </w:drawing>
      </w:r>
    </w:p>
    <w:p>
      <w:pPr>
        <w:pStyle w:val="Normal"/>
        <w:widowControl w:val="false"/>
        <w:spacing w:lineRule="auto" w:line="240" w:before="0" w:after="0"/>
        <w:ind w:firstLine="720"/>
        <w:jc w:val="both"/>
        <w:rPr>
          <w:rFonts w:ascii="Times New Roman" w:hAnsi="Times New Roman" w:eastAsia="Times New Roman" w:cs="Times New Roman"/>
          <w:sz w:val="8"/>
          <w:szCs w:val="8"/>
        </w:rPr>
      </w:pPr>
      <w:r>
        <w:rPr>
          <w:rFonts w:eastAsia="Times New Roman" w:cs="Times New Roman" w:ascii="Times New Roman" w:hAnsi="Times New Roman"/>
          <w:sz w:val="8"/>
          <w:szCs w:val="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E</w:t>
      </w:r>
      <w:r>
        <w:rPr>
          <w:rFonts w:eastAsia="Times New Roman" w:cs="Times New Roman" w:ascii="Times New Roman" w:hAnsi="Times New Roman"/>
          <w:sz w:val="28"/>
          <w:szCs w:val="28"/>
          <w:vertAlign w:val="subscript"/>
        </w:rPr>
        <w:t>n</w:t>
      </w:r>
      <w:r>
        <w:rPr>
          <w:rFonts w:eastAsia="Times New Roman" w:cs="Times New Roman" w:ascii="Times New Roman" w:hAnsi="Times New Roman"/>
          <w:sz w:val="28"/>
          <w:szCs w:val="28"/>
        </w:rPr>
        <w:t xml:space="preserve"> - эффективность реализации подпрограммы (%);</w:t>
      </w:r>
    </w:p>
    <w:p>
      <w:pPr>
        <w:pStyle w:val="Normal"/>
        <w:widowControl w:val="false"/>
        <w:spacing w:lineRule="auto" w:line="240" w:before="22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N - количество индикаторов подпрограммы.</w:t>
      </w:r>
    </w:p>
    <w:p>
      <w:pPr>
        <w:pStyle w:val="Normal"/>
        <w:widowControl w:val="false"/>
        <w:spacing w:lineRule="auto" w:line="240" w:before="22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Ожидаемыми конечными результатами реализации подпрограммы к 2024 году являются: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 Обеспечение к 2024 году переселения на территорию Брянской области 2 240 человек.</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 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числа участников Государственной программы и членов их семей в возрастной категории до 25 лет должна составить не менее 10%.</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 Обеспечение к 2024 году проведения уполномоченным органом</w:t>
        <w:br/>
        <w:t>6 презентаций подпрограммы.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 должна составить не менее 10% ежегодно.</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 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 должна составить не менее 20% ежегодно.</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6. Доля участников Государственной программы и членов их семей, охваченных мероприятиями, направленными на социальную, культурную адаптацию и интеграцию в принимающее сообщество, от общего числа обратившихся в уполномоченный орган участников Государственной программы и членов их семей за данной поддержкой должна составить не менее 70% ежегодно.</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При оценке эффективности реализации подпрограммы учитываются риски и социально-экономические эффекты, оказывающие влияние на миграционную политику, сферы занятости, социальной защиты населения, образования, здравоохранения.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 реализацию подпрограммы могут повлиять следующие риски: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изменение законодательства в миграционной политике, в сфере занятости, социальной защиты населения, образования, здравоохранения;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безработица среди участников Государственной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жилищная необустроенность участников Государственной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неготовность принимающего сообщества к приезду участников государственной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несоответствие реальной квалификации или деятельности участника Государственной программы квалификации или деятельности, заявленных соотечественником;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выезд участников Государственной программы и (или) членов его семьи на постоянное место жительства из Брянской области ранее чем через три года со дня постановки на учет в УМВД России по Брянской области в качестве участника Государственной программы и (или) члена его семьи.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управления указанными рисками предусматриваются следующие мероприятия, направленные на их снижение: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своевременная разработка необходимых нормативных правовых актов по реализации Государственной программы в субъекте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проведение профессиональной и социальной адаптации;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организация разъяснительной работы соотечественников, желающих переселиться на территорию области о вакантных рабочих местах;</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реализация мер профессионального обучения участников Государственной программы по программам переподготовки и программам повышения квалификации рабочих и служащих с целью их трудоустройства;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информирование соотечественников, желающих переселиться в область, об условиях временного найма и стоимости жилья, условиях ипотечного кредитования и ценах на строительство и приобретение постоянного жилья. Предоставление ведомственного жилья для узких специалистов;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организация разъяснительной работы в средствах массовой информации области о задачах программы в целях формирования толерантного отношения к переселенцам. Информирование населения области о задачах миграционной политики Российской Федерации, о категориях переселенцев, намеренных переселиться в область, механизме поддержки, выделении материальной помощи;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вовлечение соотечественников в культурно-массовые мероприятия, проходящие на территориях муниципальных образований и области в целом;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информирование соотечественников, желающих переселиться в область, о целях, задачах, условиях и мерах поддержки, оказываемых в рамках программы, а также об обязательствах по возмещению затрат на участие в программе при выезде участников Государственной программы и (или) членов его семьи из области ранее, чем через три года со дня постановки на учет в УМВД России по Брянской области в качестве участника Государственной программы и (или) члена его семьи.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целях минимизации возможных рисков при реализации подпрограммы на этапе рассмотрения заявления об участии в Государственной программе применяются следующие  требования к соотечественникам.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участия в подпрограмме соотечественник должен соответствовать требованиям, установленным Государственной программой, а также одному из следующих требований: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а) иметь разрешение на временное проживание или  вид на жительство на территории Брянской области, осуществлять на законных основаниях документально подтверждаемую трудовую деятельность на территории Брянской области не менее одного года.  </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б) иметь разрешение на временное проживание  или  вид на жительство на территории Брянской области, осуществлять деятельность на территории Брянской области в качестве индивидуального предпринимателя, главы крестьянско-фермерского хозяйства не менее двух лет.  </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обучаться по очной форме обучения в образовательных организациях высшего образования или профессиональных образовательных организациях либо по заочной форме обучения на последних курсах в образовательных организациях высшего образования и профессиональных образовательных организациях, расположенных на территории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г) граждане пенсионного возраста, родившиеся на территории Брянской области;  </w:t>
      </w:r>
    </w:p>
    <w:p>
      <w:pPr>
        <w:pStyle w:val="Normal"/>
        <w:widowControl w:val="false"/>
        <w:tabs>
          <w:tab w:val="clear" w:pos="708"/>
          <w:tab w:val="left" w:pos="567" w:leader="none"/>
        </w:tabs>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д) для соотечественников, проживающих за рубежом, иметь образование, не ниже среднего профессионального, и профессию, специальность, соответствующую требованиям по вакансиям, заявленным </w:t>
        <w:br/>
        <w:t>в учреждения службы занятости на территории планируемого вселения.</w:t>
      </w:r>
    </w:p>
    <w:p>
      <w:pPr>
        <w:pStyle w:val="Normal"/>
        <w:widowControl w:val="false"/>
        <w:tabs>
          <w:tab w:val="clear" w:pos="708"/>
          <w:tab w:val="left" w:pos="567" w:leader="none"/>
        </w:tabs>
        <w:spacing w:lineRule="auto" w:line="240" w:before="0" w:after="0"/>
        <w:ind w:firstLine="709"/>
        <w:jc w:val="both"/>
        <w:rPr>
          <w:rFonts w:ascii="Times New Roman" w:hAnsi="Times New Roman" w:eastAsia="Times New Roman" w:cs="Times New Roman"/>
          <w:i/>
          <w:i/>
          <w:sz w:val="28"/>
          <w:szCs w:val="28"/>
        </w:rPr>
      </w:pPr>
      <w:r>
        <w:rPr>
          <w:rFonts w:eastAsia="Times New Roman" w:cs="Times New Roman" w:ascii="Times New Roman" w:hAnsi="Times New Roman"/>
          <w:sz w:val="28"/>
          <w:szCs w:val="28"/>
        </w:rPr>
        <w:t xml:space="preserve">При рассмотрении заявлений на участие в Государственной программе правом на рассмотрение в первоочередном порядке будут пользоваться соотечественники, способные  самостоятельно решать вопросы жилищного обустройства и регистрации в соответствии с законодательством Российской Федерации в выбранном муниципальном районе или городском округе области, в том числе имеющие в собственности (или совместной собственности супругов) на территории Брянской области жилое помещение, соответствующее нормам площади, определенным органами местного самоуправления муниципальных образований, расположенных на территории Брянской области, отвечающего установленным санитарным и техническим правилам и нормам, требованиям пожарной безопасности. </w:t>
      </w:r>
      <w:r>
        <w:rPr>
          <w:rFonts w:eastAsia="Times New Roman" w:cs="Times New Roman" w:ascii="Times New Roman" w:hAnsi="Times New Roman"/>
          <w:i/>
          <w:sz w:val="28"/>
          <w:szCs w:val="28"/>
        </w:rPr>
        <w:t xml:space="preserve"> </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 соотечественникам, прибывшим на территорию Российской Федерации в экстренном массовом порядке, признанным беженцами на территории Российской Федерации или получившим временное убежище на территории Российской Федерации, требования к наличию профессионального образования и к стажу работы не применяются.</w:t>
      </w:r>
    </w:p>
    <w:p>
      <w:pPr>
        <w:pStyle w:val="Normal"/>
        <w:widowControl w:val="false"/>
        <w:spacing w:lineRule="auto" w:line="240" w:before="0" w:after="0"/>
        <w:ind w:firstLine="54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Несоответствие соотечественников вышеуказанным требованиям  </w:t>
      </w:r>
      <w:r>
        <w:rPr>
          <w:rFonts w:eastAsia="Times New Roman" w:cs="Times New Roman" w:ascii="Times New Roman" w:hAnsi="Times New Roman"/>
          <w:strike/>
          <w:sz w:val="28"/>
          <w:szCs w:val="28"/>
        </w:rPr>
        <w:t xml:space="preserve"> </w:t>
      </w:r>
      <w:r>
        <w:rPr>
          <w:rFonts w:eastAsia="Times New Roman" w:cs="Times New Roman" w:ascii="Times New Roman" w:hAnsi="Times New Roman"/>
          <w:sz w:val="28"/>
          <w:szCs w:val="28"/>
        </w:rPr>
        <w:t>является основанием для отказа в согласовании кандидатуры соотечественника для участия в подпрограмме.</w:t>
      </w:r>
    </w:p>
    <w:p>
      <w:pPr>
        <w:pStyle w:val="Normal"/>
        <w:widowControl w:val="false"/>
        <w:spacing w:lineRule="auto" w:line="240" w:before="0" w:after="0"/>
        <w:ind w:firstLine="54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Соотечественникам, подающим заявление об участии в подпрограмме за рубежом, необходимо указать в заявлении вакансию, имеющуюся в банке вакансий Брянской области, на которую планируют трудоустроиться по прибытии.</w:t>
      </w:r>
    </w:p>
    <w:p>
      <w:pPr>
        <w:pStyle w:val="Normal"/>
        <w:widowControl w:val="false"/>
        <w:spacing w:lineRule="auto" w:line="240" w:before="0" w:after="0"/>
        <w:ind w:firstLine="54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Основанием для отказа в согласовании кандидатуры соотечественника для участия в подпрограмме, подавшего заявление за рубежом, также является:</w:t>
      </w:r>
    </w:p>
    <w:p>
      <w:pPr>
        <w:pStyle w:val="Normal"/>
        <w:widowControl w:val="false"/>
        <w:spacing w:lineRule="auto" w:line="240" w:before="0" w:after="0"/>
        <w:ind w:firstLine="54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отсутствие вакансий для соотечественника в банке вакансий Брянской области;</w:t>
      </w:r>
    </w:p>
    <w:p>
      <w:pPr>
        <w:pStyle w:val="Normal"/>
        <w:widowControl w:val="false"/>
        <w:spacing w:lineRule="auto" w:line="240" w:before="0" w:after="0"/>
        <w:ind w:firstLine="540"/>
        <w:jc w:val="both"/>
        <w:rPr>
          <w:rFonts w:ascii="Arial" w:hAnsi="Arial" w:eastAsia="Times New Roman" w:cs="Arial"/>
        </w:rPr>
      </w:pPr>
      <w:r>
        <w:rPr>
          <w:rFonts w:eastAsia="Times New Roman" w:cs="Times New Roman" w:ascii="Times New Roman" w:hAnsi="Times New Roman"/>
          <w:sz w:val="28"/>
          <w:szCs w:val="28"/>
        </w:rPr>
        <w:t>отсутствие профессионального образования для трудоустройства на вакансию, указанную в заявлении соотечественника.</w:t>
      </w:r>
    </w:p>
    <w:p>
      <w:pPr>
        <w:sectPr>
          <w:headerReference w:type="default" r:id="rId12"/>
          <w:type w:val="nextPage"/>
          <w:pgSz w:w="11906" w:h="16838"/>
          <w:pgMar w:left="1418" w:right="851" w:header="0" w:top="851" w:footer="0" w:bottom="851" w:gutter="0"/>
          <w:pgNumType w:fmt="decimal"/>
          <w:formProt w:val="false"/>
          <w:titlePg/>
          <w:textDirection w:val="lrTb"/>
          <w:docGrid w:type="default" w:linePitch="381" w:charSpace="4096"/>
        </w:sectPr>
        <w:pStyle w:val="Normal"/>
        <w:spacing w:lineRule="auto" w:line="276" w:before="0" w:after="20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Приложение 2</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к подпрограмме «Оказание содействия</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добровольному переселению в Брянскую область</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соотечественников, проживающих за рубежом»</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Целевые показатели (индикаторы)</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реализации подпрограммы Брянской области «Оказание содействия добровольному переселению </w:t>
        <w:br/>
        <w:t>в Брянскую область соотечественников, проживающих за рубежом»</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bl>
      <w:tblPr>
        <w:tblW w:w="15764"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6091"/>
        <w:gridCol w:w="1459"/>
        <w:gridCol w:w="908"/>
        <w:gridCol w:w="907"/>
        <w:gridCol w:w="908"/>
        <w:gridCol w:w="906"/>
        <w:gridCol w:w="907"/>
        <w:gridCol w:w="908"/>
        <w:gridCol w:w="906"/>
        <w:gridCol w:w="1852"/>
        <w:gridCol w:w="10"/>
      </w:tblGrid>
      <w:tr>
        <w:trPr>
          <w:trHeight w:val="821" w:hRule="atLeast"/>
        </w:trPr>
        <w:tc>
          <w:tcPr>
            <w:tcW w:w="609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Цель, задачи реализации программы и показатели</w:t>
            </w:r>
          </w:p>
        </w:tc>
        <w:tc>
          <w:tcPr>
            <w:tcW w:w="145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Единица измерения</w:t>
            </w:r>
          </w:p>
        </w:tc>
        <w:tc>
          <w:tcPr>
            <w:tcW w:w="272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Отчетный период (текущий показатель предыдущих лет)</w:t>
            </w:r>
          </w:p>
        </w:tc>
        <w:tc>
          <w:tcPr>
            <w:tcW w:w="3627"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Плановый период (плановый показатель)</w:t>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Целевое значение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 2024 годы)</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rHeight w:val="339" w:hRule="atLeast"/>
        </w:trPr>
        <w:tc>
          <w:tcPr>
            <w:tcW w:w="609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145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2018</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2020 год</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2021</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2022</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2023</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год</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год</w:t>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c>
          <w:tcPr>
            <w:tcW w:w="15762"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Цель 1. Обеспечение реализации Государственной программы на территории Брянской области</w:t>
            </w:r>
          </w:p>
        </w:tc>
      </w:tr>
      <w:tr>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Численность участников Государственной программы, прибывших в Брянскую область и поставленных на учет в УМВД России по Брянской области</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человек</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rPr>
              <w:t>737</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503</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253</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w:t>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1356</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c>
          <w:tcPr>
            <w:tcW w:w="15762"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Задача 1. Закрепление переселившихся  участников Государственной программы в Брянской области и обеспечение их в социально-культурной адаптации и интеграции в российское общество</w:t>
            </w:r>
          </w:p>
        </w:tc>
      </w:tr>
      <w:tr>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Количество проведенных уполномоченным органом презентаций</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штук</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2</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Доля участников Государственной программы и членов их семей, охваченных мероприятиями, направленными на социальную, культурную адаптацию и интеграцию в принимающее сообщество в течение всего срока реализации программы, от общего числа обратившихся участников Государственной программы и членов их семей</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i/>
                <w:i/>
                <w:sz w:val="24"/>
                <w:szCs w:val="24"/>
              </w:rPr>
            </w:pPr>
            <w:r>
              <w:rPr>
                <w:rFonts w:eastAsia="Times New Roman" w:cs="Times New Roman" w:ascii="Times New Roman" w:hAnsi="Times New Roman"/>
                <w:i/>
                <w:sz w:val="24"/>
                <w:szCs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100</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70</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70</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c>
          <w:tcPr>
            <w:tcW w:w="15762"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Цель 2. Обеспечение социально-экономического развития Брянской области</w:t>
            </w:r>
          </w:p>
        </w:tc>
      </w:tr>
      <w:tr>
        <w:trPr>
          <w:trHeight w:val="2278" w:hRule="atLeast"/>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i/>
                <w:i/>
                <w:sz w:val="24"/>
                <w:szCs w:val="24"/>
              </w:rPr>
            </w:pPr>
            <w:r>
              <w:rPr>
                <w:rFonts w:eastAsia="Times New Roman" w:cs="Times New Roman" w:ascii="Times New Roman" w:hAnsi="Times New Roman"/>
                <w:i/>
                <w:sz w:val="24"/>
                <w:szCs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21</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rHeight w:val="525" w:hRule="atLeast"/>
        </w:trPr>
        <w:tc>
          <w:tcPr>
            <w:tcW w:w="15762"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Задача 2. Сокращение дефицита квалифицированных кадров</w:t>
            </w:r>
          </w:p>
        </w:tc>
      </w:tr>
      <w:tr>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Доля участников Государственной программы и членов их семей, имеющих среднее профессиональное или высшее образование, </w:t>
              <w:br/>
              <w:t>в общем количестве прибывших в Брянскую область участников Государственной программы и членов их семей</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i/>
                <w:i/>
                <w:sz w:val="24"/>
                <w:szCs w:val="24"/>
              </w:rPr>
            </w:pPr>
            <w:r>
              <w:rPr>
                <w:rFonts w:eastAsia="Times New Roman" w:cs="Times New Roman" w:ascii="Times New Roman" w:hAnsi="Times New Roman"/>
                <w:i/>
                <w:sz w:val="24"/>
                <w:szCs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63</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60</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60</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c>
          <w:tcPr>
            <w:tcW w:w="15762"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Задача 3. Развитие агропромышленного производства</w:t>
            </w:r>
          </w:p>
        </w:tc>
      </w:tr>
      <w:tr>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Доля занятых участников Государственной программы в сфере сельского хозяйства от общего числа участников Государственной программы трудоспособного возраста</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i/>
                <w:i/>
                <w:sz w:val="24"/>
                <w:szCs w:val="24"/>
              </w:rPr>
            </w:pPr>
            <w:r>
              <w:rPr>
                <w:rFonts w:eastAsia="Times New Roman" w:cs="Times New Roman" w:ascii="Times New Roman" w:hAnsi="Times New Roman"/>
                <w:i/>
                <w:sz w:val="24"/>
                <w:szCs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27</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c>
          <w:tcPr>
            <w:tcW w:w="15762"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Цель 3. Улучшение демографической ситуации в Брянской области</w:t>
            </w:r>
          </w:p>
        </w:tc>
      </w:tr>
      <w:tr>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Численность участников Государственной программы и членов их семей, прибывших в Брянскую область и поставленных на учет в УМВД России по Брянской области</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человек</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1317</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845</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391</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2036</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c>
          <w:tcPr>
            <w:tcW w:w="15762"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В том числе:</w:t>
            </w:r>
          </w:p>
        </w:tc>
      </w:tr>
      <w:tr>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участников Государственной программы</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человек</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737</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503</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253</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1356</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членов семей участников Государственной программы</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человек</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580</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342</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138</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680</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r>
        <w:trPr/>
        <w:tc>
          <w:tcPr>
            <w:tcW w:w="15762"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Задача 4. 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tc>
      </w:tr>
      <w:tr>
        <w:trPr/>
        <w:tc>
          <w:tcPr>
            <w:tcW w:w="6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общего числа участников государственной программы и членов их семей в возрастной категории </w:t>
              <w:br/>
              <w:t>до 25 лет</w:t>
            </w:r>
          </w:p>
        </w:tc>
        <w:tc>
          <w:tcPr>
            <w:tcW w:w="1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i/>
                <w:i/>
                <w:sz w:val="24"/>
                <w:szCs w:val="24"/>
              </w:rPr>
            </w:pPr>
            <w:r>
              <w:rPr>
                <w:rFonts w:eastAsia="Times New Roman" w:cs="Times New Roman" w:ascii="Times New Roman" w:hAnsi="Times New Roman"/>
                <w:i/>
                <w:sz w:val="24"/>
                <w:szCs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17</w:t>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9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1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tc>
        <w:tc>
          <w:tcPr>
            <w:tcW w:w="10" w:type="dxa"/>
            <w:tcBorders/>
          </w:tcPr>
          <w:p>
            <w:pPr>
              <w:pStyle w:val="Normal"/>
              <w:widowControl w:val="false"/>
              <w:spacing w:before="0" w:after="160"/>
              <w:rPr>
                <w:rFonts w:ascii="Times New Roman" w:hAnsi="Times New Roman" w:eastAsia="Times New Roman" w:cs="Times New Roman"/>
                <w:sz w:val="24"/>
                <w:szCs w:val="24"/>
                <w:lang w:eastAsia="ru-RU"/>
              </w:rPr>
            </w:pPr>
            <w:r>
              <w:rPr/>
            </w:r>
          </w:p>
        </w:tc>
      </w:tr>
    </w:tbl>
    <w:p>
      <w:pPr>
        <w:pStyle w:val="Normal"/>
        <w:spacing w:lineRule="auto" w:line="276" w:before="0" w:after="20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76" w:before="0" w:after="20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76" w:before="0" w:after="20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r>
        <w:br w:type="page"/>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Приложение 3</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к подпрограмме «Оказание содействия</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добровольному переселению в Брянскую область</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соотечественников, проживающих за рубежом»</w:t>
      </w:r>
    </w:p>
    <w:p>
      <w:pPr>
        <w:pStyle w:val="Normal"/>
        <w:spacing w:lineRule="auto" w:line="276"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76" w:before="0" w:after="20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Перечень основных мероприятий подпрограммы «Оказание содействия добровольному переселению </w:t>
        <w:br/>
        <w:t>в Брянскую область соотечественников, проживающих за рубежом»</w:t>
      </w:r>
    </w:p>
    <w:tbl>
      <w:tblPr>
        <w:tblW w:w="15805"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510"/>
        <w:gridCol w:w="5439"/>
        <w:gridCol w:w="2268"/>
        <w:gridCol w:w="962"/>
        <w:gridCol w:w="1163"/>
        <w:gridCol w:w="2836"/>
        <w:gridCol w:w="2626"/>
      </w:tblGrid>
      <w:tr>
        <w:trPr/>
        <w:tc>
          <w:tcPr>
            <w:tcW w:w="5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п/п</w:t>
            </w:r>
          </w:p>
        </w:tc>
        <w:tc>
          <w:tcPr>
            <w:tcW w:w="543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Наименование мероприятия</w:t>
            </w:r>
          </w:p>
        </w:tc>
        <w:tc>
          <w:tcPr>
            <w:tcW w:w="226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Ответственный исполнитель</w:t>
            </w:r>
          </w:p>
        </w:tc>
        <w:tc>
          <w:tcPr>
            <w:tcW w:w="212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Срок</w:t>
            </w:r>
          </w:p>
        </w:tc>
        <w:tc>
          <w:tcPr>
            <w:tcW w:w="283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Ожидаемый непосредственный результат</w:t>
            </w:r>
          </w:p>
        </w:tc>
        <w:tc>
          <w:tcPr>
            <w:tcW w:w="262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Риск неисполнения</w:t>
            </w:r>
          </w:p>
        </w:tc>
      </w:tr>
      <w:tr>
        <w:trPr/>
        <w:tc>
          <w:tcPr>
            <w:tcW w:w="5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543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6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начала реали-зации</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окон-чания реали-зации</w:t>
            </w:r>
          </w:p>
        </w:tc>
        <w:tc>
          <w:tcPr>
            <w:tcW w:w="283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62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Обеспечение оказания участникам Государственной программы и членам их семей до получения ими разрешения на временное проживание медицинской помощи в рамках территориальной программы государственных гарантий бесплатного оказания гражданам медицинской помощи в соответствии с законодательством 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департамент здравоохранения Брянской области</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оказание медицинской помощи участникам Государственной программы и членам их семей</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низкий уровень адаптации соотечественни-ков на территории вселения</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Предоставление участникам Государственной программы и членам их семей услуг в области содействия занятости населения в 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организации проведения оплачиваемых общественных работ, ярмарок вакансий и учебных рабочих мест, информирования о положении на рынке труда в Брянской области в соответствии с законодательством 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управление государственной службы по труду и занятости населения Брянской области</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информационное обеспечение реализации подпрограммы</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низкая информирован-ность о территории вселения в странах проживания соотечественни-ков – потенциальных участников Государственной программы приведет к невыполнению основного показателя</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Организация дополнительного профессионального образования участников Государственной программы и членов их семей, прибывших в Брянскую область</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управление государственной службы по труду и занятости населения Брянской области,</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государственные казенные учреждения – центры занятости населения городов (районов) Брянской области</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оказание государственных услуг в области содействия занятости населения</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изменение законодательства в сфере занятости</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Содействие началу осуществления предпринимательской деятельности участников Государственной программы и членов их семей,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управление государственной службы по труду и занятости населения Брянской области, департамент экономического развития Брянской области, государственные казенные учреждения центры занятости населения городов (районов) Брянской области</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оказание помощи в выборе сферы деятельности участникам Государственной программы и членам их семей</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низкий уровень адаптации соотечественни-ков на территории вселения</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Содействие в жилищном обустройстве участников Государственной программы и членов их семей</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управление государственной службы по труду и занятости населения Брянской области, администрации муниципальных образований области </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(по согласованию)</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повышение информированности участников Государственной программы и членов их семей по организационно-правовым вопросам по прибытии на территорию вселения</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низкий уровень адаптации соотечественни-ков на территории вселения</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6.</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Обеспечение детей участников Государственной программы местами в дошкольных образовательных организациях и общеобразовательных организациях</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управление государственной службы по труду и занятости населения Брянской области, администрации муниципальных образований области</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2024</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повышение информированности участников Государственной программы и членов их семей по организационно-правовым вопросам по прибытии на территорию вселения</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низкий уровень адаптации соотечественни-ков на территории вселения</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Единовременная выплата участникам Государственной программы и членам их семей</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управление государственной службы по труду и занятости населения Брянской области</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единовременная выплата участникам государственной программы и членам их семей</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изменение законодательства Брянской области</w:t>
            </w:r>
          </w:p>
        </w:tc>
      </w:tr>
      <w:tr>
        <w:trPr>
          <w:trHeight w:val="3436" w:hRule="atLeast"/>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8.</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Информационное обеспечение реализации подпрограммы, предоставление информационных, консультационных, юридических и других услуг участникам Государственной программы и членам их семей</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управление государственной службы по труду и занятости населения Брянской области</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информирование соотечественников и общественности об условиях участия в подпрограмме, о мерах социальной поддержки участников Государственной программы и членов их семей</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изменение законодательства в миграционной политике в сфере занятости</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9.</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Проведение презентаций подпрограммы</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управление государственной службы по труду и занятости населения Брянской области, департамент экономического развития Брянской области</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2024</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повышение информированности соотечественников и общественности об условиях участия в подпрограмме, о предоставляемых государственных гарантиях и мерах социальной поддержки участников Государственной программы и членов их семей, результатах реализации подпрограммы</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низкая информирован-ность о территории вселения в странах проживания соотечественни-ков - потенциальных участников Государственной программы приведет к невыполнению основного показателя</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10.</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Мониторинг и размещение в информационно-телекоммуникационной сети «Интернет», в том числе на портале автоматизированной информационной системы «Соотечественники», информации об уровне обеспеченности трудовыми ресурсами отдельных территорий, возможности трудоустройства и получения профессионального образования, оказания социальной поддержки, временного и постоянного жилищного обустройства участников Государственной программы</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управление государственной службы по труду и занятости населения Брянской области</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информирование соотечественников и общественности об условиях участия в подпрограмме, о мерах социальной поддержки участников Государственной программы и членов их семей</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изменение законодательства в миграционной политике в сфере занятости</w:t>
            </w:r>
          </w:p>
        </w:tc>
      </w:tr>
      <w:tr>
        <w:trPr/>
        <w:tc>
          <w:tcPr>
            <w:tcW w:w="5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w:t>
            </w:r>
          </w:p>
        </w:tc>
        <w:tc>
          <w:tcPr>
            <w:tcW w:w="54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Разработка, издание, направление в консульские учреждения Российской Федерации и уполномоченные органы по вопросам миграции за рубежом, муниципальные образования области информационных материалов (буклетов, памяток и т.д.)</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управление государственной службы по труду и занятости населения Брянской области, администрации муниципальных образований области </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(по согласованию)</w:t>
            </w:r>
          </w:p>
        </w:tc>
        <w:tc>
          <w:tcPr>
            <w:tcW w:w="9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1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2024 </w:t>
            </w:r>
          </w:p>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год</w:t>
            </w:r>
          </w:p>
        </w:tc>
        <w:tc>
          <w:tcPr>
            <w:tcW w:w="28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оказание информационных и консультационных услуг</w:t>
            </w:r>
          </w:p>
        </w:tc>
        <w:tc>
          <w:tcPr>
            <w:tcW w:w="2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низкий уровень адаптации соотечественни-ков на территории вселения</w:t>
            </w:r>
          </w:p>
        </w:tc>
      </w:tr>
    </w:tbl>
    <w:p>
      <w:pPr>
        <w:sectPr>
          <w:headerReference w:type="default" r:id="rId13"/>
          <w:type w:val="nextPage"/>
          <w:pgSz w:orient="landscape" w:w="16838" w:h="11906"/>
          <w:pgMar w:left="567" w:right="567" w:header="0" w:top="851" w:footer="0" w:bottom="851" w:gutter="0"/>
          <w:pgNumType w:fmt="decimal"/>
          <w:formProt w:val="false"/>
          <w:textDirection w:val="lrTb"/>
          <w:docGrid w:type="default" w:linePitch="381" w:charSpace="4096"/>
        </w:sectPr>
      </w:pPr>
    </w:p>
    <w:p>
      <w:pPr>
        <w:pStyle w:val="Normal"/>
        <w:widowControl w:val="false"/>
        <w:spacing w:lineRule="auto" w:line="240" w:before="0" w:after="0"/>
        <w:ind w:right="-314"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Приложение 4</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к подпрограмме «Оказание содействия</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добровольному переселению в Брянскую область</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соотечественников, проживающих за рубежом»</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Перечень</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нормативных правовых актов, принятых (планируемых</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к принятию) в целях реализации подпрограммы «Оказание</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содействия добровольному переселению в Брянскую область</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соотечественников, проживающих за рубежом»</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tbl>
      <w:tblPr>
        <w:tblW w:w="9753"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453"/>
        <w:gridCol w:w="2160"/>
        <w:gridCol w:w="3619"/>
        <w:gridCol w:w="1849"/>
        <w:gridCol w:w="1672"/>
      </w:tblGrid>
      <w:tr>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п/п</w:t>
            </w:r>
          </w:p>
        </w:tc>
        <w:tc>
          <w:tcPr>
            <w:tcW w:w="21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Вид нормативного правового акта</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Основные положения нормативного правового акта</w:t>
            </w:r>
          </w:p>
        </w:tc>
        <w:tc>
          <w:tcPr>
            <w:tcW w:w="18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Исполнитель</w:t>
            </w:r>
          </w:p>
        </w:tc>
        <w:tc>
          <w:tcPr>
            <w:tcW w:w="16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Ожидаемый срок принятия</w:t>
            </w:r>
          </w:p>
        </w:tc>
      </w:tr>
      <w:tr>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1.</w:t>
            </w:r>
          </w:p>
        </w:tc>
        <w:tc>
          <w:tcPr>
            <w:tcW w:w="21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8"/>
                <w:szCs w:val="28"/>
              </w:rPr>
            </w:pPr>
            <w:hyperlink r:id="rId14">
              <w:r>
                <w:rPr>
                  <w:rFonts w:eastAsia="Times New Roman" w:cs="Times New Roman" w:ascii="Times New Roman" w:hAnsi="Times New Roman"/>
                  <w:sz w:val="28"/>
                  <w:szCs w:val="28"/>
                </w:rPr>
                <w:t>Постановление</w:t>
              </w:r>
            </w:hyperlink>
            <w:r>
              <w:rPr>
                <w:rFonts w:eastAsia="Times New Roman" w:cs="Times New Roman" w:ascii="Times New Roman" w:hAnsi="Times New Roman"/>
                <w:sz w:val="28"/>
                <w:szCs w:val="28"/>
              </w:rPr>
              <w:t xml:space="preserve"> администрации Брянской области</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об уполномоченном органе Брянской области, ответственном за реализацию региональной программы по оказанию содействия добровольному переселению в Российскую Федерацию соотечественников, проживающих за рубежом</w:t>
            </w:r>
          </w:p>
        </w:tc>
        <w:tc>
          <w:tcPr>
            <w:tcW w:w="18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управление государственной службы по труду и занятости населения Брянской области</w:t>
            </w:r>
          </w:p>
        </w:tc>
        <w:tc>
          <w:tcPr>
            <w:tcW w:w="16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декабрь 2012 года</w:t>
            </w:r>
          </w:p>
        </w:tc>
      </w:tr>
      <w:tr>
        <w:trPr/>
        <w:tc>
          <w:tcPr>
            <w:tcW w:w="453"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2.</w:t>
            </w:r>
          </w:p>
        </w:tc>
        <w:tc>
          <w:tcPr>
            <w:tcW w:w="2160" w:type="dxa"/>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8"/>
                <w:szCs w:val="28"/>
              </w:rPr>
            </w:pPr>
            <w:hyperlink r:id="rId15">
              <w:r>
                <w:rPr>
                  <w:rFonts w:eastAsia="Times New Roman" w:cs="Times New Roman" w:ascii="Times New Roman" w:hAnsi="Times New Roman"/>
                  <w:sz w:val="28"/>
                  <w:szCs w:val="28"/>
                </w:rPr>
                <w:t>Распоряжение</w:t>
              </w:r>
            </w:hyperlink>
            <w:r>
              <w:rPr>
                <w:rFonts w:eastAsia="Times New Roman" w:cs="Times New Roman" w:ascii="Times New Roman" w:hAnsi="Times New Roman"/>
                <w:sz w:val="28"/>
                <w:szCs w:val="28"/>
              </w:rPr>
              <w:t xml:space="preserve"> Правительства</w:t>
            </w:r>
          </w:p>
          <w:p>
            <w:pPr>
              <w:pStyle w:val="Normal"/>
              <w:widowControl w:val="false"/>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Брянской области</w:t>
            </w:r>
          </w:p>
        </w:tc>
        <w:tc>
          <w:tcPr>
            <w:tcW w:w="3619"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утверждает положение и состав межведомственной комиссии по вопросам реализации региональной программы по оказанию содействия добровольному переселению в Российскую Федерацию соотечественников, проживающих за рубежом</w:t>
            </w:r>
          </w:p>
        </w:tc>
        <w:tc>
          <w:tcPr>
            <w:tcW w:w="1849"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управление государственной службы по труду и занятости населения Брянской области</w:t>
            </w:r>
          </w:p>
        </w:tc>
        <w:tc>
          <w:tcPr>
            <w:tcW w:w="1672"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февраль 2019 года</w:t>
            </w:r>
          </w:p>
        </w:tc>
      </w:tr>
      <w:tr>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3.</w:t>
            </w:r>
          </w:p>
        </w:tc>
        <w:tc>
          <w:tcPr>
            <w:tcW w:w="21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hyperlink r:id="rId16">
              <w:r>
                <w:rPr>
                  <w:rFonts w:eastAsia="Times New Roman" w:cs="Times New Roman" w:ascii="Times New Roman" w:hAnsi="Times New Roman"/>
                  <w:sz w:val="28"/>
                  <w:szCs w:val="28"/>
                </w:rPr>
                <w:t>Постановление</w:t>
              </w:r>
            </w:hyperlink>
            <w:r>
              <w:rPr>
                <w:rFonts w:eastAsia="Times New Roman" w:cs="Times New Roman" w:ascii="Times New Roman" w:hAnsi="Times New Roman"/>
                <w:sz w:val="28"/>
                <w:szCs w:val="28"/>
              </w:rPr>
              <w:t xml:space="preserve"> Правительства Брянской области</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определяет порядок предоставления единовременной выплаты участникам подпрограммы «Оказание содействия добровольному переселению в Брянскую область соотечественников, проживающих за рубежом»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 и членам их семей </w:t>
            </w:r>
          </w:p>
        </w:tc>
        <w:tc>
          <w:tcPr>
            <w:tcW w:w="18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управление государственной службы по труду и занятости населения Брянской области</w:t>
            </w:r>
          </w:p>
        </w:tc>
        <w:tc>
          <w:tcPr>
            <w:tcW w:w="16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lang w:val="en-US"/>
              </w:rPr>
              <w:t>IV</w:t>
            </w:r>
            <w:r>
              <w:rPr>
                <w:rFonts w:eastAsia="Times New Roman" w:cs="Times New Roman" w:ascii="Times New Roman" w:hAnsi="Times New Roman"/>
                <w:sz w:val="28"/>
                <w:szCs w:val="28"/>
              </w:rPr>
              <w:t xml:space="preserve"> квартал 2020 года</w:t>
            </w:r>
          </w:p>
        </w:tc>
      </w:tr>
      <w:tr>
        <w:trPr/>
        <w:tc>
          <w:tcPr>
            <w:tcW w:w="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4.</w:t>
            </w:r>
          </w:p>
        </w:tc>
        <w:tc>
          <w:tcPr>
            <w:tcW w:w="21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Постановление Правительства Брянской области</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Определяет порядок  приема участников Государственной программы «Оказание содействия добровольному переселению в Российскую Федерацию соотечественников, проживающих за рубежом» и членов их семей на территории Брянской области</w:t>
            </w:r>
          </w:p>
        </w:tc>
        <w:tc>
          <w:tcPr>
            <w:tcW w:w="18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8"/>
                <w:szCs w:val="28"/>
              </w:rPr>
            </w:pPr>
            <w:r>
              <w:rPr>
                <w:rFonts w:eastAsia="Times New Roman" w:cs="Times New Roman" w:ascii="Times New Roman" w:hAnsi="Times New Roman"/>
                <w:sz w:val="28"/>
                <w:szCs w:val="28"/>
              </w:rPr>
              <w:t>управление государственной службы по труду и занятости населения Брянской области</w:t>
            </w:r>
          </w:p>
        </w:tc>
        <w:tc>
          <w:tcPr>
            <w:tcW w:w="16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lang w:val="en-US"/>
              </w:rPr>
              <w:t>IV</w:t>
            </w:r>
            <w:r>
              <w:rPr>
                <w:rFonts w:eastAsia="Times New Roman" w:cs="Times New Roman" w:ascii="Times New Roman" w:hAnsi="Times New Roman"/>
                <w:sz w:val="28"/>
                <w:szCs w:val="28"/>
              </w:rPr>
              <w:t>квартал 2020 года</w:t>
            </w:r>
          </w:p>
        </w:tc>
      </w:tr>
    </w:tbl>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sectPr>
          <w:headerReference w:type="default" r:id="rId17"/>
          <w:type w:val="nextPage"/>
          <w:pgSz w:w="11906" w:h="16838"/>
          <w:pgMar w:left="1418" w:right="851" w:header="0" w:top="851" w:footer="0" w:bottom="851" w:gutter="0"/>
          <w:pgNumType w:fmt="decimal"/>
          <w:formProt w:val="false"/>
          <w:textDirection w:val="lrTb"/>
          <w:docGrid w:type="default" w:linePitch="381" w:charSpace="4096"/>
        </w:sectPr>
        <w:pStyle w:val="Normal"/>
        <w:widowControl w:val="false"/>
        <w:spacing w:lineRule="auto" w:line="240" w:before="0" w:after="0"/>
        <w:ind w:firstLine="72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Приложение 5</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к подпрограмме «Оказание содействия</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добровольному переселению в Брянскую область</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соотечественников, проживающих за рубежом»</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Объемы финансовых ресурсов на реализацию основных мероприятий подпрограммы «Оказание содействия добровольному переселению в Брянскую область соотечественников, проживающих за рубежом»</w:t>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tbl>
      <w:tblPr>
        <w:tblW w:w="15614" w:type="dxa"/>
        <w:jc w:val="left"/>
        <w:tblInd w:w="0" w:type="dxa"/>
        <w:tblLayout w:type="fixed"/>
        <w:tblCellMar>
          <w:top w:w="102" w:type="dxa"/>
          <w:left w:w="62" w:type="dxa"/>
          <w:bottom w:w="102" w:type="dxa"/>
          <w:right w:w="62" w:type="dxa"/>
        </w:tblCellMar>
        <w:tblLook w:firstRow="1" w:noVBand="1" w:lastRow="0" w:firstColumn="1" w:lastColumn="0" w:noHBand="0" w:val="04a0"/>
      </w:tblPr>
      <w:tblGrid>
        <w:gridCol w:w="6231"/>
        <w:gridCol w:w="2060"/>
        <w:gridCol w:w="1217"/>
        <w:gridCol w:w="1218"/>
        <w:gridCol w:w="1218"/>
        <w:gridCol w:w="1218"/>
        <w:gridCol w:w="1218"/>
        <w:gridCol w:w="1218"/>
        <w:gridCol w:w="14"/>
      </w:tblGrid>
      <w:tr>
        <w:trPr/>
        <w:tc>
          <w:tcPr>
            <w:tcW w:w="623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Наименование мероприятия</w:t>
            </w:r>
          </w:p>
        </w:tc>
        <w:tc>
          <w:tcPr>
            <w:tcW w:w="206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Вид источника финансирования</w:t>
            </w:r>
          </w:p>
        </w:tc>
        <w:tc>
          <w:tcPr>
            <w:tcW w:w="7307"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Ресурсное обеспечение (рублей), годы</w:t>
            </w:r>
          </w:p>
        </w:tc>
        <w:tc>
          <w:tcPr>
            <w:tcW w:w="14" w:type="dxa"/>
            <w:tcBorders/>
          </w:tcPr>
          <w:p>
            <w:pPr>
              <w:pStyle w:val="Normal"/>
              <w:widowControl w:val="false"/>
              <w:spacing w:before="0" w:after="160"/>
              <w:rPr>
                <w:rFonts w:ascii="Times New Roman" w:hAnsi="Times New Roman" w:eastAsia="Times New Roman" w:cs="Times New Roman"/>
                <w:sz w:val="28"/>
                <w:szCs w:val="28"/>
              </w:rPr>
            </w:pPr>
            <w:r>
              <w:rPr/>
            </w:r>
          </w:p>
        </w:tc>
      </w:tr>
      <w:tr>
        <w:trPr/>
        <w:tc>
          <w:tcPr>
            <w:tcW w:w="623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06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12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2019 год</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2020 год</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2021 год</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2022 год</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2023 год</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2024 год</w:t>
            </w:r>
          </w:p>
        </w:tc>
        <w:tc>
          <w:tcPr>
            <w:tcW w:w="14" w:type="dxa"/>
            <w:tcBorders/>
          </w:tcPr>
          <w:p>
            <w:pPr>
              <w:pStyle w:val="Normal"/>
              <w:widowControl w:val="false"/>
              <w:spacing w:before="0" w:after="160"/>
              <w:rPr>
                <w:rFonts w:ascii="Times New Roman" w:hAnsi="Times New Roman" w:eastAsia="Times New Roman" w:cs="Times New Roman"/>
                <w:sz w:val="28"/>
                <w:szCs w:val="28"/>
              </w:rPr>
            </w:pPr>
            <w:r>
              <w:rPr/>
            </w:r>
          </w:p>
        </w:tc>
      </w:tr>
      <w:tr>
        <w:trPr/>
        <w:tc>
          <w:tcPr>
            <w:tcW w:w="623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Всего по подпрограмме</w:t>
            </w:r>
          </w:p>
        </w:tc>
        <w:tc>
          <w:tcPr>
            <w:tcW w:w="20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ВСЕГО, в том числе:</w:t>
            </w:r>
          </w:p>
        </w:tc>
        <w:tc>
          <w:tcPr>
            <w:tcW w:w="12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5000000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3900000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2200000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2200000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2200000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2200000</w:t>
            </w:r>
          </w:p>
        </w:tc>
        <w:tc>
          <w:tcPr>
            <w:tcW w:w="14" w:type="dxa"/>
            <w:tcBorders/>
          </w:tcPr>
          <w:p>
            <w:pPr>
              <w:pStyle w:val="Normal"/>
              <w:widowControl w:val="false"/>
              <w:spacing w:before="0" w:after="160"/>
              <w:rPr>
                <w:rFonts w:ascii="Times New Roman" w:hAnsi="Times New Roman" w:eastAsia="Times New Roman" w:cs="Times New Roman"/>
                <w:sz w:val="28"/>
                <w:szCs w:val="28"/>
              </w:rPr>
            </w:pPr>
            <w:r>
              <w:rPr/>
            </w:r>
          </w:p>
        </w:tc>
      </w:tr>
      <w:tr>
        <w:trPr/>
        <w:tc>
          <w:tcPr>
            <w:tcW w:w="623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0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федеральный бюджет</w:t>
            </w:r>
          </w:p>
        </w:tc>
        <w:tc>
          <w:tcPr>
            <w:tcW w:w="12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4600000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3588000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2024000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2068000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2068000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2068000</w:t>
            </w:r>
          </w:p>
        </w:tc>
        <w:tc>
          <w:tcPr>
            <w:tcW w:w="14" w:type="dxa"/>
            <w:tcBorders/>
          </w:tcPr>
          <w:p>
            <w:pPr>
              <w:pStyle w:val="Normal"/>
              <w:widowControl w:val="false"/>
              <w:spacing w:before="0" w:after="160"/>
              <w:rPr>
                <w:rFonts w:ascii="Times New Roman" w:hAnsi="Times New Roman" w:eastAsia="Times New Roman" w:cs="Times New Roman"/>
                <w:sz w:val="28"/>
                <w:szCs w:val="28"/>
              </w:rPr>
            </w:pPr>
            <w:r>
              <w:rPr/>
            </w:r>
          </w:p>
        </w:tc>
      </w:tr>
      <w:tr>
        <w:trPr/>
        <w:tc>
          <w:tcPr>
            <w:tcW w:w="62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c>
          <w:tcPr>
            <w:tcW w:w="20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областной бюджет</w:t>
            </w:r>
          </w:p>
        </w:tc>
        <w:tc>
          <w:tcPr>
            <w:tcW w:w="12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400000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312000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176000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132000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132000</w:t>
            </w:r>
          </w:p>
        </w:tc>
        <w:tc>
          <w:tcPr>
            <w:tcW w:w="12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132000</w:t>
            </w:r>
          </w:p>
        </w:tc>
        <w:tc>
          <w:tcPr>
            <w:tcW w:w="14" w:type="dxa"/>
            <w:tcBorders/>
          </w:tcPr>
          <w:p>
            <w:pPr>
              <w:pStyle w:val="Normal"/>
              <w:widowControl w:val="false"/>
              <w:spacing w:before="0" w:after="160"/>
              <w:rPr>
                <w:rFonts w:ascii="Times New Roman" w:hAnsi="Times New Roman" w:eastAsia="Times New Roman" w:cs="Times New Roman"/>
                <w:sz w:val="28"/>
                <w:szCs w:val="28"/>
              </w:rPr>
            </w:pPr>
            <w:r>
              <w:rPr/>
            </w:r>
          </w:p>
        </w:tc>
      </w:tr>
      <w:tr>
        <w:trPr/>
        <w:tc>
          <w:tcPr>
            <w:tcW w:w="62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1</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w:t>
            </w:r>
          </w:p>
        </w:tc>
        <w:tc>
          <w:tcPr>
            <w:tcW w:w="938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не требует финансирования в рамках подпрограммы</w:t>
            </w:r>
          </w:p>
        </w:tc>
      </w:tr>
      <w:tr>
        <w:trPr/>
        <w:tc>
          <w:tcPr>
            <w:tcW w:w="62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2</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«Предоставление участникам Государственной программы и членам их семей услуг в области содействия занятости населения в 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организации проведения оплачиваемых общественных работ, ярмарок вакансий и учебных рабочих мест, информирования о положении на рынке труда в Брянской области в соответствии с законодательством Российской Федерации»</w:t>
            </w:r>
          </w:p>
        </w:tc>
        <w:tc>
          <w:tcPr>
            <w:tcW w:w="938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не требует финансирования в рамках подпрограммы</w:t>
            </w:r>
          </w:p>
        </w:tc>
      </w:tr>
      <w:tr>
        <w:trPr/>
        <w:tc>
          <w:tcPr>
            <w:tcW w:w="62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3</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«Организация дополнительного профессионального образования участников Государственной программы и членов их семей, прибывших в Брянскую область"</w:t>
            </w:r>
          </w:p>
        </w:tc>
        <w:tc>
          <w:tcPr>
            <w:tcW w:w="938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не требует финансирования в рамках подпрограммы</w:t>
            </w:r>
          </w:p>
        </w:tc>
      </w:tr>
      <w:tr>
        <w:trPr/>
        <w:tc>
          <w:tcPr>
            <w:tcW w:w="62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4</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"Содействие началу осуществления предпринимательской деятельности участников Государственной программы и членов их семей,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w:t>
            </w:r>
          </w:p>
        </w:tc>
        <w:tc>
          <w:tcPr>
            <w:tcW w:w="938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не требует финансирования в рамках подпрограммы</w:t>
            </w:r>
          </w:p>
        </w:tc>
      </w:tr>
      <w:tr>
        <w:trPr/>
        <w:tc>
          <w:tcPr>
            <w:tcW w:w="62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5</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«Содействие в жилищном обустройстве участников Государственной программы и членов их семей»</w:t>
            </w:r>
          </w:p>
        </w:tc>
        <w:tc>
          <w:tcPr>
            <w:tcW w:w="938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не требует финансирования в рамках подпрограммы</w:t>
            </w:r>
          </w:p>
        </w:tc>
      </w:tr>
      <w:tr>
        <w:trPr/>
        <w:tc>
          <w:tcPr>
            <w:tcW w:w="62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6</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«Обеспечение детей участников Государственной программы местами в дошкольных образовательных организациях и общеобразовательных организациях»</w:t>
            </w:r>
          </w:p>
        </w:tc>
        <w:tc>
          <w:tcPr>
            <w:tcW w:w="938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не требует финансирования в рамках подпрограммы</w:t>
            </w:r>
          </w:p>
        </w:tc>
      </w:tr>
      <w:tr>
        <w:trPr/>
        <w:tc>
          <w:tcPr>
            <w:tcW w:w="623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7</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«Информационное обеспечение реализации подпрограммы, предоставление информационных, консультационных, юридических и других услуг участникам Государственной программы и членам их семей»</w:t>
            </w:r>
          </w:p>
        </w:tc>
        <w:tc>
          <w:tcPr>
            <w:tcW w:w="20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федеральный бюджет</w:t>
            </w:r>
          </w:p>
        </w:tc>
        <w:tc>
          <w:tcPr>
            <w:tcW w:w="12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368000,00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276000,00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496800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507600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507600</w:t>
            </w:r>
          </w:p>
        </w:tc>
        <w:tc>
          <w:tcPr>
            <w:tcW w:w="12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507600</w:t>
            </w:r>
          </w:p>
        </w:tc>
      </w:tr>
      <w:tr>
        <w:trPr/>
        <w:tc>
          <w:tcPr>
            <w:tcW w:w="623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0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областной бюджет</w:t>
            </w:r>
          </w:p>
        </w:tc>
        <w:tc>
          <w:tcPr>
            <w:tcW w:w="12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32000,00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24000,00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43200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32400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32400</w:t>
            </w:r>
          </w:p>
        </w:tc>
        <w:tc>
          <w:tcPr>
            <w:tcW w:w="12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32400</w:t>
            </w:r>
          </w:p>
        </w:tc>
      </w:tr>
      <w:tr>
        <w:trPr/>
        <w:tc>
          <w:tcPr>
            <w:tcW w:w="623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8</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«Единовременная выплата участникам Государственной программы и членам их семей»</w:t>
            </w:r>
          </w:p>
        </w:tc>
        <w:tc>
          <w:tcPr>
            <w:tcW w:w="20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федеральный бюджет</w:t>
            </w:r>
          </w:p>
        </w:tc>
        <w:tc>
          <w:tcPr>
            <w:tcW w:w="12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4232000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3312000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1472000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1504000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1504000</w:t>
            </w:r>
          </w:p>
        </w:tc>
        <w:tc>
          <w:tcPr>
            <w:tcW w:w="12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1504000</w:t>
            </w:r>
          </w:p>
        </w:tc>
      </w:tr>
      <w:tr>
        <w:trPr/>
        <w:tc>
          <w:tcPr>
            <w:tcW w:w="623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0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областной бюджет</w:t>
            </w:r>
          </w:p>
        </w:tc>
        <w:tc>
          <w:tcPr>
            <w:tcW w:w="12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368000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288000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128000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96000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96000</w:t>
            </w:r>
          </w:p>
        </w:tc>
        <w:tc>
          <w:tcPr>
            <w:tcW w:w="12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96000</w:t>
            </w:r>
          </w:p>
        </w:tc>
      </w:tr>
      <w:tr>
        <w:trPr/>
        <w:tc>
          <w:tcPr>
            <w:tcW w:w="62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9</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«Проведение презентаций подпрограммы»</w:t>
            </w:r>
          </w:p>
        </w:tc>
        <w:tc>
          <w:tcPr>
            <w:tcW w:w="938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не требует финансирования в рамках подпрограммы</w:t>
            </w:r>
          </w:p>
        </w:tc>
      </w:tr>
      <w:tr>
        <w:trPr/>
        <w:tc>
          <w:tcPr>
            <w:tcW w:w="62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10</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«Мониторинг и размещение в информационно-телекоммуникационной сети «Интернет», в том числе на портале автоматизированной информационной системы «Соотечественники», информации об уровне обеспеченности трудовыми ресурсами отдельных территорий, возможности трудоустройства и получения профессионального образования, оказания социальной поддержки, временного и постоянного жилищного обустройства участников Государственной программы»</w:t>
            </w:r>
          </w:p>
        </w:tc>
        <w:tc>
          <w:tcPr>
            <w:tcW w:w="9381"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не требует финансирования в рамках подпрограммы</w:t>
            </w:r>
          </w:p>
        </w:tc>
      </w:tr>
      <w:tr>
        <w:trPr/>
        <w:tc>
          <w:tcPr>
            <w:tcW w:w="623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Мероприятие 11</w:t>
            </w:r>
          </w:p>
          <w:p>
            <w:pPr>
              <w:pStyle w:val="Normal"/>
              <w:widowControl w:val="false"/>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t>«Разработка, издание, направление в консульские учреждения Российской Федерации и уполномоченные органы по вопросам миграции за рубежом, муниципальные образования области информационных материалов (буклетов, памяток и т.д.)»</w:t>
            </w:r>
          </w:p>
        </w:tc>
        <w:tc>
          <w:tcPr>
            <w:tcW w:w="20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федеральный бюджет</w:t>
            </w:r>
          </w:p>
        </w:tc>
        <w:tc>
          <w:tcPr>
            <w:tcW w:w="12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55200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56400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56400</w:t>
            </w:r>
          </w:p>
        </w:tc>
        <w:tc>
          <w:tcPr>
            <w:tcW w:w="12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56400</w:t>
            </w:r>
          </w:p>
        </w:tc>
      </w:tr>
      <w:tr>
        <w:trPr/>
        <w:tc>
          <w:tcPr>
            <w:tcW w:w="623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0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областной бюджет</w:t>
            </w:r>
          </w:p>
        </w:tc>
        <w:tc>
          <w:tcPr>
            <w:tcW w:w="12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4800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3600</w:t>
            </w:r>
          </w:p>
        </w:tc>
        <w:tc>
          <w:tcPr>
            <w:tcW w:w="12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3600</w:t>
            </w:r>
          </w:p>
        </w:tc>
        <w:tc>
          <w:tcPr>
            <w:tcW w:w="12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3600</w:t>
            </w:r>
          </w:p>
        </w:tc>
      </w:tr>
    </w:tbl>
    <w:p>
      <w:pPr>
        <w:sectPr>
          <w:headerReference w:type="default" r:id="rId18"/>
          <w:type w:val="nextPage"/>
          <w:pgSz w:orient="landscape" w:w="16838" w:h="11906"/>
          <w:pgMar w:left="567" w:right="567" w:header="0" w:top="851" w:footer="0" w:bottom="851" w:gutter="0"/>
          <w:pgNumType w:fmt="decimal"/>
          <w:formProt w:val="false"/>
          <w:textDirection w:val="lrTb"/>
          <w:docGrid w:type="default" w:linePitch="381" w:charSpace="4096"/>
        </w:sectPr>
      </w:pP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Приложение 6</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к подпрограмме «Оказание содействия</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добровольному переселению в Брянскую область</w:t>
      </w:r>
    </w:p>
    <w:p>
      <w:pPr>
        <w:pStyle w:val="Normal"/>
        <w:widowControl w:val="false"/>
        <w:spacing w:lineRule="auto" w:line="240" w:before="0" w:after="0"/>
        <w:ind w:firstLine="3544"/>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t>соотечественников, проживающих за рубежом»</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Описание</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территории вселения «Брянская область»</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Брянская область была образована 5 июля 1944 года. Административный центр - город Брянск, основанный в 985 году. Область расположена в Центральной России (входит в состав Центрального федерального округа) к юго-западу от Москвы.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Брянская область имеет статус приграничного региона. Область граничит на севере со Смоленской областью, на западе - с Гомельской и Могилевской областями Республики Беларусь, на востоке - с Калужской и Орловской областями, на юго-востоке - с Курской областью и на юге - с Черниговской и Сумской областями Украины.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состав Брянской области входят 289 муниципальных образований, в том числе 6 городских округов, 27 муниципальных районов, 31 городское поселение, 225 сельских поселений. Общая площадь Брянской области - 34,9 тыс. кв. км.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 данным территориального органа Федеральной службы государственной статистики, на начало 2018 года население Брянской области составляло 1210912 человек. Плотность населения - 35 человек на 1 кв. км.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Область имеет исключительно выгодное транспортное положение, так как расположена на пересечении путей из России в страны СНГ.</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Через Брянскую область проходят важнейшие международные торговые пути в страны Восточной Европы, посредством которых реализуются интересы экономического сотрудничества России.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Брянская область расположена в центральной части Восточно-Европейской равнины на водоразделе двух крупных речных систем - Днепровской и Волжской. Протяженность области с запада на восток 270 км, с севера на юг - 190 км, располагается в умеренных широтах. Находясь на стыке трех республик и двух природных зон, область имеет богатую и разнообразную природу. Здесь можно встретить все типы лесов: хвойный, смешанный, широколиственный, а также лесостепь и культурную степь.</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Социально-экономическое развитие</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Итоги социально-экономического развития Брянской области свидетельствуют об умеренном росте в основных секторах экономики.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Благодаря стабильной положительной динамике ведущих секторов экономики объем валового регионального продукта в 2018 году оценивается в 330,6 млрд. рублей (101,2% к уровню 2017 года), в 2019 году он ожидается в 346,7 млрд. рублей (102,0% к уровню 2018 года).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структуре валового регионального продукта обрабатывающие производства занимают 18,1%; транспорт и связь - 9,8%; оптовая и розничная торговля, ремонт автотранспортных средств, мотоциклов, бытовых изделий и предметов личного пользования - 19,8%; сельское хозяйство, охота и лесное хозяйство - 17,2%; государственное управление и обеспечение военной безопасности, социальное страхование - 7,4%; здравоохранение и предоставление социальных услуг - 4,4%; образование - 3,6%.</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Промышленное производство</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Производственный сектор области представлен предприятиями, относящимися к видам деятельности: «Добыча полезных ископаемых», «Обрабатывающие производства», «Производство и распределение электроэнергии, газа и воды».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январе - июне 2019 года промышленными предприятиями Брянской области отгружено товаров собственного производства на 127817,1 млн. рублей, что на 18,4% больше, чем в январе - июне 2018 года. Индекс промышленного производства составил в целом по данному сектору экономики 113,2%.</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Ведущая роль в промышленном производстве области принадлежит обрабатывающим производствам. На их долю приходится около 90% областного объема отгруженной продукции.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Официальный сайт департамента промышленности, транспорта и связи Брянской области: http://dpts.bryanskprom.ru/.</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Строительство</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Объем работ, выполненных по виду деятельности «строительство», в январе - июне 2019 года составил 8 859,0 млн. рублей, или 93,0% к уровню января - июня 2018 года.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Введено в эксплуатацию 401 дом (1306 квартир) общей площадью 104,5 тыс. кв. метров, или в три с половиной раза больше к уровню января - июня 2018 года, в том числе индивидуальными застройщиками сдано 52,8 тыс. кв. метров (больше в 2,2%).</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Официальный сайт департамента строительства Брянской области: http://www.dsbrobl.ru/.</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Образование</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Участники Государственной программы и члены их семей, переселяющиеся в Брянскую область, могут пройти обучение по основным общеобразовательным программам, основным профессиональным образовательным программам, основным программам профессионального обучения и дополнительным образовательным программам.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 основным общеобразовательным программам относятся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 основным профессиональным образовательным программам относятся: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 основным программам профессионального обучения относятся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 дополнительным образовательным программам относятся: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дополнительные общеобразовательные программы - дополнительные общеразвивающие программы, дополнительные предпрофессиональные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дополнительные профессиональные программы - программы повышения квалификации, программы профессиональной переподготовки.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2017/18 учебном году в области функционировало 5 образовательных организаций высшего образования и 10 филиалов образовательных организаций высшего образования, прием на обучение проводится на конкурсной основе.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соответствии с принципом единства научного и образовательного процесса проводятся соответствующие научно-образовательные мероприятия, формулируются темы научных работ и выпускных квалификационных работ студентов.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 время обучения студенты имеют возможность, а при освоении образовательных программ высшего образования (магистратуры и аспирантуры) в обязательном порядке участвовать в проведении научных исследований на базе кафедр образовательных организаций высшего образования.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2017/18 учебном году реализация образовательных программ среднего профессионального образования в Брянской области осуществлялась в 35 образовательных организациях (25 профессиональных образовательных организациях и 10 филиалах образовательных организаций высшего образования).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Подготовка кадров в профессиональных образовательных организациях, подведомственных департаменту образования и науки Брянской области, осуществляется по 88 профессиям и специальностям.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 базе 16 профессиональных образовательных организациях созданы учебные центры прикладных квалификаций. Ежегодно в данных учебных центрах проходят программы повышения квалификации, программы профессиональной переподготовки около 3,5 тыс. человек из числа взрослого и незанятого населения.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Официальный сайт департамента образования и науки Брянской области: http://www.edu.debryansk.ru.</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Социальная защита</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соответствии с Федеральным </w:t>
      </w:r>
      <w:hyperlink r:id="rId19">
        <w:r>
          <w:rPr>
            <w:rFonts w:eastAsia="Times New Roman" w:cs="Times New Roman" w:ascii="Times New Roman" w:hAnsi="Times New Roman"/>
            <w:sz w:val="28"/>
            <w:szCs w:val="28"/>
          </w:rPr>
          <w:t>законом</w:t>
        </w:r>
      </w:hyperlink>
      <w:r>
        <w:rPr>
          <w:rFonts w:eastAsia="Times New Roman" w:cs="Times New Roman" w:ascii="Times New Roman" w:hAnsi="Times New Roman"/>
          <w:sz w:val="28"/>
          <w:szCs w:val="28"/>
        </w:rPr>
        <w:t xml:space="preserve"> от 19 мая 1995 года № 81-ФЗ    «О государственных пособиях гражданам, имеющим детей» установлены различные виды пособий лицам, имеющим детей. Действие данного закона распространяется 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 Российской Федерации, проживающих на территории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таможенных органах, и гражданский персонал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постоянно проживающих на территории Российской Федерации иностранных граждан и лиц без гражданства, а также беженцев;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временно проживающих на территории Российской Федерации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Устанавливаются следующие виды государственных пособий: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пособие по беременности и родам;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женщинам, вставшим на учет в медицинских организациях в ранние сроки беременности;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при рождении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по уходу за ребенком;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на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при передаче ребенка на воспитание в семью;</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беременной жене военнослужащего, проходящего военную службу по призыву;</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на ребенка военнослужащего, проходящего военную службу по призыву.</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соответствии с </w:t>
      </w:r>
      <w:hyperlink r:id="rId20">
        <w:r>
          <w:rPr>
            <w:rFonts w:eastAsia="Times New Roman" w:cs="Times New Roman" w:ascii="Times New Roman" w:hAnsi="Times New Roman"/>
            <w:sz w:val="28"/>
            <w:szCs w:val="28"/>
          </w:rPr>
          <w:t>Законом</w:t>
        </w:r>
      </w:hyperlink>
      <w:r>
        <w:rPr>
          <w:rFonts w:eastAsia="Times New Roman" w:cs="Times New Roman" w:ascii="Times New Roman" w:hAnsi="Times New Roman"/>
          <w:sz w:val="28"/>
          <w:szCs w:val="28"/>
        </w:rPr>
        <w:t xml:space="preserve"> Брянской области от 20 февраля 2008 года    № 12-З «Об охране семьи, материнства, отцовства и детства в Брянской области» также установлены различные виды пособий лицам, имеющим детей, на региональном уровне.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Действие данного закона распространяется 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 Российской Федерации, зарегистрированных и проживающих на территории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постоянно проживающих на территории Брянской области иностранных граждан и лиц без гражданства, а также беженцев;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временно проживающих на территории Брянской области и подлежащих обязательному социальному страхованию иностранных граждан и лиц без гражданства.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Согласно вышеназванному закону устанавливаются следующие виды пособий и иные выплаты: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зарегистрированной многодетной семье при рождении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на школьников из многодетной малообеспеченной семьи к началу учебного года;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на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дополнительное единовременное пособие при рождении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дополнительное ежемесячное пособие по уходу за ребенком-инвалидом;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ежемесячная денежная выплата при рождении (усыновлении) третьего ребенка или последующих детей, родившихся (усыновленных) после                    31 декабря 2012 года.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Официальный сайт департамента семьи, социальной и демографической политики Брянской области: http://uszn032.ru.</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Здравоохранение</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Медицинская помощь населению Брянской области предоставляется бесплатно в соответствии с ежегодно утверждаемой территориальной программой государственных гарантий бесплатного оказания гражданам медицинской помощи (далее - территориальная программа).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На 2019 год и на плановый период 2020 - 2021 годов территориальная </w:t>
      </w:r>
      <w:hyperlink r:id="rId21">
        <w:r>
          <w:rPr>
            <w:rFonts w:eastAsia="Times New Roman" w:cs="Times New Roman" w:ascii="Times New Roman" w:hAnsi="Times New Roman"/>
            <w:sz w:val="28"/>
            <w:szCs w:val="28"/>
          </w:rPr>
          <w:t>программа</w:t>
        </w:r>
      </w:hyperlink>
      <w:r>
        <w:rPr>
          <w:rFonts w:eastAsia="Times New Roman" w:cs="Times New Roman" w:ascii="Times New Roman" w:hAnsi="Times New Roman"/>
          <w:sz w:val="28"/>
          <w:szCs w:val="28"/>
        </w:rPr>
        <w:t xml:space="preserve"> утверждена постановлением Правительства Брянской области              от 27 декабря 2018 года № 702-п.</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Предоставление участникам Государственной программы и членам их семей медицинской помощи в рамках программ государственных гарантий бесплатного оказания гражданам медицинской помощи осуществляется в соответствии с Федеральными законами от 29 ноября 2010 года </w:t>
      </w:r>
      <w:hyperlink r:id="rId22">
        <w:r>
          <w:rPr>
            <w:rFonts w:eastAsia="Times New Roman" w:cs="Times New Roman" w:ascii="Times New Roman" w:hAnsi="Times New Roman"/>
            <w:sz w:val="28"/>
            <w:szCs w:val="28"/>
          </w:rPr>
          <w:t>№</w:t>
        </w:r>
      </w:hyperlink>
      <w:r>
        <w:rPr>
          <w:rFonts w:eastAsia="Times New Roman" w:cs="Times New Roman" w:ascii="Times New Roman" w:hAnsi="Times New Roman"/>
          <w:sz w:val="28"/>
          <w:szCs w:val="28"/>
        </w:rPr>
        <w:t xml:space="preserve"> 326-ФЗ «Об обязательном медицинском страховании в Российской Федерации»,                  от 21 ноября 2011 года </w:t>
      </w:r>
      <w:hyperlink r:id="rId23">
        <w:r>
          <w:rPr>
            <w:rFonts w:eastAsia="Times New Roman" w:cs="Times New Roman" w:ascii="Times New Roman" w:hAnsi="Times New Roman"/>
            <w:sz w:val="28"/>
            <w:szCs w:val="28"/>
          </w:rPr>
          <w:t>№ 323-ФЗ</w:t>
        </w:r>
      </w:hyperlink>
      <w:r>
        <w:rPr>
          <w:rFonts w:eastAsia="Times New Roman" w:cs="Times New Roman" w:ascii="Times New Roman" w:hAnsi="Times New Roman"/>
          <w:sz w:val="28"/>
          <w:szCs w:val="28"/>
        </w:rPr>
        <w:t xml:space="preserve"> «Об основах охраны здоровья граждан в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 является полис обязательного медицинского страхования. До получения полиса обязательного медицинского страхования участник Государственной программы и члены его семьи имеют право на оказание им медицинскими организациями государственной и муниципальной систем здравоохранения бесплатной скорой, в том числе скорой специализированной, медицинской помощи при заболеваниях, несчастных случаях, травмах, отравлениях и других состояниях, требующих срочного медицинского вмешательства, а также медицинской помощи в экстренной форме, оказываемой медицинскими организациями при внезапных острых заболеваниях, состояниях, обострении хронических заболеваний, представляющих угрозу жизни пациента.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Медицинская помощь в неотложной форме (за исключением скорой, в том числе скорой специализированной, медицинской помощи) и плановой форме до получения полиса обязательного медицинского страхования оказывается участникам Государственной программы и членам их семей в соответствии с договорами о предоставлении платных медицинских услуг либо договорами добровольного медицинского страхования.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Департамент здравоохранения Брянской области организует обследование иностранных граждан и лиц без гражданства для определения отсутствия (наличия) ВИЧ-инфекции, а также выдачу сертификата об отсутствии у данного иностранного гражданина заболевания, вызываемого вирусом иммунодефицита человека (ВИЧ-инфекции), обследование и выдачу документов, подтверждающих отсутствие у данного иностранного гражданина заболевания наркоманией, и медицинское освидетельствование в соответствии с </w:t>
      </w:r>
      <w:hyperlink r:id="rId24">
        <w:r>
          <w:rPr>
            <w:rFonts w:eastAsia="Times New Roman" w:cs="Times New Roman" w:ascii="Times New Roman" w:hAnsi="Times New Roman"/>
            <w:sz w:val="28"/>
            <w:szCs w:val="28"/>
          </w:rPr>
          <w:t>Приказом</w:t>
        </w:r>
      </w:hyperlink>
      <w:r>
        <w:rPr>
          <w:rFonts w:eastAsia="Times New Roman" w:cs="Times New Roman" w:ascii="Times New Roman" w:hAnsi="Times New Roman"/>
          <w:sz w:val="28"/>
          <w:szCs w:val="28"/>
        </w:rPr>
        <w:t xml:space="preserve"> Министерства здравоохранения Российской Федерации от 29 июня 2015 года № 384н «Об утверждении перечня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иностранных граждан и лиц без гражданства, или вида на жительство, или патента, или разрешения на работу в Российской Федерации, а также порядка подтверждения их наличия или отсутствия, а также формы медицинского заключения о наличии (об отсутствии) указанных заболеваний».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Участники государственной программы и члены их семей для получения медицинских услуг обращаются в медицинские организации по месту размещения.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Официальный сайт департамента здравоохранения Брянской области: http://www.brkmed.ru.</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Порядок</w:t>
      </w:r>
    </w:p>
    <w:p>
      <w:pPr>
        <w:pStyle w:val="Normal"/>
        <w:widowControl w:val="false"/>
        <w:spacing w:lineRule="auto" w:line="240" w:before="0" w:after="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взаимодействия уполномоченного органа и иных органов исполнительной власти Брянской области, участвующих в реализации подпрограммы с территориальными органами федеральных органов исполнительной власти</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Уполномоченным органом, ответственным за реализацию подпрограммы на территории Брянской области (далее - уполномоченный орган), определено управление государственной службы по труду и занятости населения Брянской области (далее - управление).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Место нахождения управления: 241037, г. Брянск, 1-й проезд Станке Димитрова, д. 12, факс: (4832) 62-12-72, контактный телефон: (4832)                41-19-33.</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Предоставляет комплекс информационных услуг участнику государственной программы и членам его семьи (совместно с управлением по вопросам миграции УМВД России по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организует работу по согласованию заявлений кандидатов на участие в Государственной программе, в том числе на условиях самостоятельного трудоустройства;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координирует деятельность уполномоченных органов на территориях вселения и других исполнителей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готовит и предоставляет в установленном порядке сводную бюджетную заявку на финансирование мероприятий по ее выполнению;</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готовит информационные материалы о программе в помощь переселенцам и организаторам работы с ними для федерального и областного банка данных областного информационного ресурса, для зарубежных и местных СМИ, организует необходимую разъяснительную работу среди населения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разрабатывает и выдает памятку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их временного размещения, предоставления правового статуса и обустройства на территории Брянской области, регламентирующую последовательность действий участников Государственной программы.</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Порядок</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действий при прибытии участников Государственной</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программы и членов их семей</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Прибытие переселенца и членов его семьи в Брянскую область осуществляется самостоятельно.</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 прибытии в Брянскую область участник Государственной программы и члены его семьи обращаются в органы государственной службы занятости населения Брянской области - Управление государственной службы по труду и занятости населения Брянской области или государственные казенные учреждения службы занятости населения Брянской области в целях оказания им консультационных, информационных, юридических и других услуг, оказания содействия в обустройстве и трудоустройстве, а также наблюдения за ходом переселения и обустройством.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Временное жилищное обустройство участников Государственной программы и членов их семей осуществляется при содействии администраций муниципальных образований.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Информация об агентствах недвижимости, предоставляющих услуги по поиску квартир для найма, о кредитных организациях-участниках рынка ипотечного кредитования в Брянской области, об условиях участия в ипотечном кредитовании размещается на АИС «Соотечественники» (www.aiss.gov.ru).</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Решение вопросов приобретения жилья для постоянного проживания (покупка, строительство, долевое участие) осуществляется: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 счет собственных средств участника Государственной программы и членов его семьи;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 счет заемных средств и ипотечного кредитования.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целях вовлечения участников Государственной программы в действующие в Брянской области программы по оказанию государственной поддержки при строительстве и приобретении жилья (после получения гражданства Российской Федерации) участникам Государственной программы необходимо обращаться за информацией в департамент строительства Брянской области по адресу: г. Брянск, ул. Калинина, д. 73, тел.: (4832) 74-20-46, администрации муниципальных образований территорий вселения.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получения консультаций по вопросам ипотечного кредитования соотечественники могут обратиться в кредитные учреждения Брянской области, осуществляющие выдачу населению ипотечных кредитов.</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Предоставление услуг по содействию трудоустройству, а также</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обучению, переобучению, повышению квалификации</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Согласно </w:t>
      </w:r>
      <w:hyperlink r:id="rId25">
        <w:r>
          <w:rPr>
            <w:rFonts w:eastAsia="Times New Roman" w:cs="Times New Roman" w:ascii="Times New Roman" w:hAnsi="Times New Roman"/>
            <w:sz w:val="28"/>
            <w:szCs w:val="28"/>
          </w:rPr>
          <w:t>пункту 4 статьи 13</w:t>
        </w:r>
      </w:hyperlink>
      <w:r>
        <w:rPr>
          <w:rFonts w:eastAsia="Times New Roman" w:cs="Times New Roman" w:ascii="Times New Roman" w:hAnsi="Times New Roman"/>
          <w:sz w:val="28"/>
          <w:szCs w:val="28"/>
        </w:rPr>
        <w:t xml:space="preserve"> Федерального закона от 25 июля 2002 года № 115-ФЗ «О правовом положении иностранных граждан в Российской Федерации» участники Государственной программы и члены их семей вправе осуществлять трудовую деятельность наравне с гражданами Российской Федерации. Для этого участникам Государственной программы, работодателям, оформляющим их на работу, не требуется оформление каких-либо разрешительных документов.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Предоставление услуг по содействию трудоустройству участникам Государственной программы и трудоспособным членам их семей осуществляют органы государственной службы занятости населения - управление государственной службы по труду и занятости населения Брянской области, государственные казенные учреждения службы занятости населения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Органы службы занятости населения Брянской области оказывают участникам Государственной программы и трудоспособным членам их семей услуги в соответствии с </w:t>
      </w:r>
      <w:hyperlink r:id="rId26">
        <w:r>
          <w:rPr>
            <w:rFonts w:eastAsia="Times New Roman" w:cs="Times New Roman" w:ascii="Times New Roman" w:hAnsi="Times New Roman"/>
            <w:sz w:val="28"/>
            <w:szCs w:val="28"/>
          </w:rPr>
          <w:t>Законом</w:t>
        </w:r>
      </w:hyperlink>
      <w:r>
        <w:rPr>
          <w:rFonts w:eastAsia="Times New Roman" w:cs="Times New Roman" w:ascii="Times New Roman" w:hAnsi="Times New Roman"/>
          <w:sz w:val="28"/>
          <w:szCs w:val="28"/>
        </w:rPr>
        <w:t xml:space="preserve"> Российской Федерации от 19 апреля 1991 года № 1032-1 «О занятости населения в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получения услуг в области содействия занятости и дальнейшего оформления на работу соотечественнику необходимы следующие документы: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документ, удостоверяющий личность и гражданство соотечественника;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трудовая книжка или документ, ее заменяющий, а также другие документы, подтверждающие опыт работы (трудовые договоры, служебные контракты, договоры гражданско-трудового характера);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документы, подтверждающие профессиональную квалификацию;</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свидетельство участника Государственной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лиц, впервые ищущих работу (ранее не работавших), не имеющих профессии (специальности) для постановки на учет необходимы паспорт и документы об образовании. Документы, составленные на иностранном языке, подлежат переводу на русский язык. Верность перевода и подлинность подписи переводчика должны быть нотариально удостоверены.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Контактная информация Управления государственной службы по труду и занятости населения Брянской области, государственных казенных учреждений службы занятости населения Брянской области, а также информация об услугах, оказываемых гражданам в сфере занятости, размещены на интерактивном портале управления государственной службы по труду и занятости населения Брянской области (http://rabota-bryanskobl.ru) и на информационном портале АИС «Соотечественники» (http://aiss.gov.ru).</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Порядок</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регистрации по месту пребывания или месту жительства</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right="-144"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Предоставление государственной услуги по регистрационному учету участников Государственной программы и членов их семей, являющихся гражданами Российской Федерации, по месту пребывания и по месту жительства осуществляется в соответствии с </w:t>
      </w:r>
      <w:hyperlink r:id="rId27">
        <w:r>
          <w:rPr>
            <w:rFonts w:eastAsia="Times New Roman" w:cs="Times New Roman" w:ascii="Times New Roman" w:hAnsi="Times New Roman"/>
            <w:sz w:val="28"/>
            <w:szCs w:val="28"/>
            <w:lang w:eastAsia="ru-RU"/>
          </w:rPr>
          <w:t>Законом</w:t>
        </w:r>
      </w:hyperlink>
      <w:r>
        <w:rPr>
          <w:rFonts w:eastAsia="Times New Roman" w:cs="Times New Roman" w:ascii="Times New Roman" w:hAnsi="Times New Roman"/>
          <w:sz w:val="28"/>
          <w:szCs w:val="28"/>
          <w:lang w:eastAsia="ru-RU"/>
        </w:rPr>
        <w:t xml:space="preserve"> Российской Федерации от 25 июня 1993 года № 5242-1 «О праве граждан Российской Федерации на свободу передвижения, выбор места пребывания и жительства в пределах Российской Федерации», </w:t>
      </w:r>
      <w:hyperlink r:id="rId28">
        <w:r>
          <w:rPr>
            <w:rFonts w:eastAsia="Times New Roman" w:cs="Times New Roman" w:ascii="Times New Roman" w:hAnsi="Times New Roman"/>
            <w:sz w:val="28"/>
            <w:szCs w:val="28"/>
            <w:lang w:eastAsia="ru-RU"/>
          </w:rPr>
          <w:t>Постановлением</w:t>
        </w:r>
      </w:hyperlink>
      <w:r>
        <w:rPr>
          <w:rFonts w:eastAsia="Times New Roman" w:cs="Times New Roman" w:ascii="Times New Roman" w:hAnsi="Times New Roman"/>
          <w:sz w:val="28"/>
          <w:szCs w:val="28"/>
          <w:lang w:eastAsia="ru-RU"/>
        </w:rPr>
        <w:t xml:space="preserve"> Правительства Российской Федерации от 17 июля 1995 года № 713 «Об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 административным </w:t>
      </w:r>
      <w:hyperlink r:id="rId29">
        <w:r>
          <w:rPr>
            <w:rFonts w:eastAsia="Times New Roman" w:cs="Times New Roman" w:ascii="Times New Roman" w:hAnsi="Times New Roman"/>
            <w:sz w:val="28"/>
            <w:szCs w:val="28"/>
            <w:lang w:eastAsia="ru-RU"/>
          </w:rPr>
          <w:t>регламентом</w:t>
        </w:r>
      </w:hyperlink>
      <w:r>
        <w:rPr>
          <w:rFonts w:eastAsia="Times New Roman" w:cs="Times New Roman" w:ascii="Times New Roman" w:hAnsi="Times New Roman"/>
          <w:sz w:val="28"/>
          <w:szCs w:val="28"/>
          <w:lang w:eastAsia="ru-RU"/>
        </w:rPr>
        <w:t xml:space="preserve"> Министерства внутренних дел Российской Федерации по предоставлению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 утвержденного приказом МВД России от 31 декабря 2017 года № 984. </w:t>
      </w:r>
    </w:p>
    <w:p>
      <w:pPr>
        <w:pStyle w:val="Normal"/>
        <w:widowControl w:val="false"/>
        <w:spacing w:lineRule="auto" w:line="240" w:before="0" w:after="0"/>
        <w:ind w:right="-144"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Постановка на миграционный учет по месту пребывания и регистрация </w:t>
        <w:br/>
        <w:t>по месту жительства участников Госпрограммы по переселению соотечественников и членов их семей, являющихся иностранными гражданами или лицами без гражданства, осуществляется в соответствии с:</w:t>
      </w:r>
    </w:p>
    <w:p>
      <w:pPr>
        <w:pStyle w:val="Normal"/>
        <w:widowControl w:val="false"/>
        <w:spacing w:lineRule="auto" w:line="240" w:before="0" w:after="0"/>
        <w:ind w:right="-144"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Федеральным </w:t>
      </w:r>
      <w:hyperlink r:id="rId30">
        <w:r>
          <w:rPr>
            <w:rFonts w:eastAsia="Times New Roman" w:cs="Times New Roman" w:ascii="Times New Roman" w:hAnsi="Times New Roman"/>
            <w:sz w:val="28"/>
            <w:szCs w:val="28"/>
            <w:lang w:eastAsia="ru-RU"/>
          </w:rPr>
          <w:t>законом</w:t>
        </w:r>
      </w:hyperlink>
      <w:r>
        <w:rPr>
          <w:rFonts w:eastAsia="Times New Roman" w:cs="Times New Roman" w:ascii="Times New Roman" w:hAnsi="Times New Roman"/>
          <w:sz w:val="28"/>
          <w:szCs w:val="28"/>
          <w:lang w:eastAsia="ru-RU"/>
        </w:rPr>
        <w:t xml:space="preserve"> от 18 июля 2006 г. № 109-ФЗ «О миграционном учете иностранных граждан и лиц без гражданства в Российской Федерации»;</w:t>
      </w:r>
    </w:p>
    <w:p>
      <w:pPr>
        <w:pStyle w:val="Normal"/>
        <w:widowControl w:val="false"/>
        <w:spacing w:lineRule="auto" w:line="240" w:before="0" w:after="0"/>
        <w:ind w:right="-144" w:firstLine="709"/>
        <w:jc w:val="both"/>
        <w:rPr>
          <w:rFonts w:ascii="Times New Roman" w:hAnsi="Times New Roman" w:eastAsia="Times New Roman" w:cs="Times New Roman"/>
          <w:sz w:val="28"/>
          <w:szCs w:val="28"/>
          <w:lang w:eastAsia="ru-RU"/>
        </w:rPr>
      </w:pPr>
      <w:hyperlink r:id="rId31">
        <w:r>
          <w:rPr>
            <w:rFonts w:eastAsia="Times New Roman" w:cs="Times New Roman" w:ascii="Times New Roman" w:hAnsi="Times New Roman"/>
            <w:sz w:val="28"/>
            <w:szCs w:val="28"/>
            <w:lang w:eastAsia="ru-RU"/>
          </w:rPr>
          <w:t>постановлением</w:t>
        </w:r>
      </w:hyperlink>
      <w:r>
        <w:rPr>
          <w:rFonts w:eastAsia="Times New Roman" w:cs="Times New Roman" w:ascii="Times New Roman" w:hAnsi="Times New Roman"/>
          <w:sz w:val="28"/>
          <w:szCs w:val="28"/>
          <w:lang w:eastAsia="ru-RU"/>
        </w:rPr>
        <w:t xml:space="preserve"> Правительства Российской Федерации от 15 января </w:t>
        <w:br/>
        <w:t>2007 г. № 9 «О порядке осуществления миграционного учета иностранных граждан и лиц без гражданства в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приказом МВД России от 10 декабря 2020 г. № 856 «Об утверждении Административного регламента Министерства внутренних дел Российской Федерации по предоставлению государственной услуги по осуществлению миграционного учета иностранных граждан и лиц без гражданства </w:t>
        <w:br/>
        <w:t xml:space="preserve">в Российской Федерации, форм заявления иностранного гражданина или лица без гражданства о регистрации по месту жительства, заявления о снятии иностранного гражданина или лица без гражданства с регистрации по месту жительства, уведомления о прибытии иностранного гражданина или лица без гражданства в место пребывания, отметок о регистрации (снятии </w:t>
        <w:br/>
        <w:t xml:space="preserve">с регистрации) иностранного гражданина или лица без гражданства по месту жительства, отметок о подтверждении выполнения принимающей стороной </w:t>
        <w:br/>
        <w:t>и иностранным гражданином или лицом без гражданства действий, необходимых для его постановки на учет по месту пребывания, проставляемых, в том числе, многофункциональным центром предоставления государственных и муниципальных услуг.</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Контактная информация управления по вопросам миграции размещена на официальном сайте УМВД России по Брянской области. Управление по вопросам миграции УМВД России по Брянской области расположено по адресу: 241050, г. Брянск, ул. Горбатова, д. 31, тел.: (4832) 71-85-00.</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Порядок</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оформления документов, удостоверяющих правовой статус лиц,</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проживающих на территории Российской Федерации. Оформление</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разрешения на временное проживание и вида на жительство</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Правовое положение иностранных граждан в Российской Федерации, регулирование отношений между иностранными гражданами, с одной стороны, и органами государственной власти, органами местного самоуправления, должностными лицами указанных органов, с другой стороны, возникающие в связи с пребыванием (проживанием) иностранных граждан в Российской Федерации, определены Федеральным </w:t>
      </w:r>
      <w:hyperlink r:id="rId32">
        <w:r>
          <w:rPr>
            <w:rFonts w:eastAsia="Times New Roman" w:cs="Times New Roman" w:ascii="Times New Roman" w:hAnsi="Times New Roman"/>
            <w:sz w:val="28"/>
            <w:szCs w:val="28"/>
          </w:rPr>
          <w:t>законом</w:t>
        </w:r>
      </w:hyperlink>
      <w:r>
        <w:rPr>
          <w:rFonts w:eastAsia="Times New Roman" w:cs="Times New Roman" w:ascii="Times New Roman" w:hAnsi="Times New Roman"/>
          <w:sz w:val="28"/>
          <w:szCs w:val="28"/>
        </w:rPr>
        <w:t xml:space="preserve"> от 25 июля 2002 года № 115-ФЗ «О правовом положении иностранных граждан в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Выдача разрешения на временное проживание иностранным гражданам, лицам без гражданства производится в порядке, установленном Административным </w:t>
      </w:r>
      <w:hyperlink r:id="rId33">
        <w:r>
          <w:rPr>
            <w:rFonts w:eastAsia="Times New Roman" w:cs="Times New Roman" w:ascii="Times New Roman" w:hAnsi="Times New Roman"/>
            <w:sz w:val="28"/>
            <w:szCs w:val="28"/>
          </w:rPr>
          <w:t>регламентом</w:t>
        </w:r>
      </w:hyperlink>
      <w:r>
        <w:rPr>
          <w:rFonts w:eastAsia="Times New Roman" w:cs="Times New Roman" w:ascii="Times New Roman" w:hAnsi="Times New Roman"/>
          <w:sz w:val="28"/>
          <w:szCs w:val="28"/>
        </w:rPr>
        <w:t xml:space="preserve">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утвержденным приказом МВД России </w:t>
        <w:br/>
        <w:t xml:space="preserve">от 8 июня 2020 года № 407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w:t>
        <w:br/>
        <w:t>а также форм отметки и бланка документа о разрешении на временное проживание в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trike/>
          <w:sz w:val="28"/>
          <w:szCs w:val="28"/>
        </w:rPr>
      </w:pPr>
      <w:r>
        <w:rPr>
          <w:rFonts w:eastAsia="Times New Roman" w:cs="Times New Roman" w:ascii="Times New Roman" w:hAnsi="Times New Roman"/>
          <w:sz w:val="28"/>
          <w:szCs w:val="28"/>
        </w:rPr>
        <w:t xml:space="preserve">Оформление вида на жительство в Российской Федерации производится в порядке, установленном Административным </w:t>
      </w:r>
      <w:hyperlink r:id="rId34">
        <w:r>
          <w:rPr>
            <w:rFonts w:eastAsia="Times New Roman" w:cs="Times New Roman" w:ascii="Times New Roman" w:hAnsi="Times New Roman"/>
            <w:sz w:val="28"/>
            <w:szCs w:val="28"/>
          </w:rPr>
          <w:t>регламентом</w:t>
        </w:r>
      </w:hyperlink>
      <w:r>
        <w:rPr>
          <w:rFonts w:eastAsia="Times New Roman" w:cs="Times New Roman" w:ascii="Times New Roman" w:hAnsi="Times New Roman"/>
          <w:sz w:val="28"/>
          <w:szCs w:val="28"/>
        </w:rPr>
        <w:t xml:space="preserve">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замене иностранным гражданам и лицам без гражданства вида на жительство в Российской Федерации, утвержденным приказом МВД России от 11 июня 2020 года № 417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замене иностранным гражданам и лицам без гражданства вида на жительство в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Иностранные граждане, являющиеся участниками Государственной программы, и члены их семей, переселяющиеся совместно с ними в Российскую Федерацию при подаче заявления о выдаче разрешения на временное проживание или вида на жительство в соответствии с </w:t>
      </w:r>
      <w:hyperlink r:id="rId35">
        <w:r>
          <w:rPr>
            <w:rFonts w:eastAsia="Times New Roman" w:cs="Times New Roman" w:ascii="Times New Roman" w:hAnsi="Times New Roman"/>
            <w:sz w:val="28"/>
            <w:szCs w:val="28"/>
          </w:rPr>
          <w:t>подпунктом 5 пункта 5 статьи 15.1</w:t>
        </w:r>
      </w:hyperlink>
      <w:r>
        <w:rPr>
          <w:rFonts w:eastAsia="Times New Roman" w:cs="Times New Roman" w:ascii="Times New Roman" w:hAnsi="Times New Roman"/>
          <w:sz w:val="28"/>
          <w:szCs w:val="28"/>
        </w:rPr>
        <w:t xml:space="preserve"> Федерального закона от 25 июля 2002 года № 115-ФЗ «О правовом положении иностранных граждан в Российской Федерации» освобождаются от подтверждения владения русским языком, знания истории России и основ законодательства Российской Федерации.</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Приобретение иностранными гражданами</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гражданства Российской Федерации</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Иностранные граждане и лица без гражданства, являющиеся участниками Государственной программы, зарегистрированные по месту жительства либо по месту пребывания на территории субъекта Российской Федерации, избранного ими для постоянного проживания, в соответствии с </w:t>
      </w:r>
      <w:hyperlink r:id="rId36">
        <w:r>
          <w:rPr>
            <w:rFonts w:eastAsia="Times New Roman" w:cs="Times New Roman" w:ascii="Times New Roman" w:hAnsi="Times New Roman"/>
            <w:sz w:val="28"/>
            <w:szCs w:val="28"/>
          </w:rPr>
          <w:t>пунктом 7 статьи 14</w:t>
        </w:r>
      </w:hyperlink>
      <w:r>
        <w:rPr>
          <w:rFonts w:eastAsia="Times New Roman" w:cs="Times New Roman" w:ascii="Times New Roman" w:hAnsi="Times New Roman"/>
          <w:sz w:val="28"/>
          <w:szCs w:val="28"/>
        </w:rPr>
        <w:t xml:space="preserve"> Федерального закона от 31 мая 2002 года № 62-ФЗ         «О гражданстве Российской Федерации» могут быть приняты в гражданство Российской Федерации в упрощенном порядке, без оформления вида на жительство, без предоставления документов, подтверждающих наличие законного источника средств к существованию и владение русским языком.</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Порядок предоставления медицинских и социальных услуг</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Предоставление участникам Государственной программы и членам их семей медицинской помощи в рамках программ государственных гарантий бесплатного оказания гражданам медицинской помощи осуществляется в соответствии с федеральными законами от 29 ноября 2010 года </w:t>
      </w:r>
      <w:hyperlink r:id="rId37">
        <w:r>
          <w:rPr>
            <w:rFonts w:eastAsia="Times New Roman" w:cs="Times New Roman" w:ascii="Times New Roman" w:hAnsi="Times New Roman"/>
            <w:sz w:val="28"/>
            <w:szCs w:val="28"/>
          </w:rPr>
          <w:t>№ 326-ФЗ</w:t>
        </w:r>
      </w:hyperlink>
      <w:r>
        <w:rPr>
          <w:rFonts w:eastAsia="Times New Roman" w:cs="Times New Roman" w:ascii="Times New Roman" w:hAnsi="Times New Roman"/>
          <w:sz w:val="28"/>
          <w:szCs w:val="28"/>
        </w:rPr>
        <w:t xml:space="preserve"> «Об обязательном медицинском страховании в Российской Федерации»,            от 21 ноября 2011 года </w:t>
      </w:r>
      <w:hyperlink r:id="rId38">
        <w:r>
          <w:rPr>
            <w:rFonts w:eastAsia="Times New Roman" w:cs="Times New Roman" w:ascii="Times New Roman" w:hAnsi="Times New Roman"/>
            <w:sz w:val="28"/>
            <w:szCs w:val="28"/>
          </w:rPr>
          <w:t>№ 323-ФЗ</w:t>
        </w:r>
      </w:hyperlink>
      <w:r>
        <w:rPr>
          <w:rFonts w:eastAsia="Times New Roman" w:cs="Times New Roman" w:ascii="Times New Roman" w:hAnsi="Times New Roman"/>
          <w:sz w:val="28"/>
          <w:szCs w:val="28"/>
        </w:rPr>
        <w:t xml:space="preserve"> «Об основах охраны здоровья граждан в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 является полис обязательного медицинского страхования. До получения полиса обязательного медицинского страхования участник Государственной программы и члены его семьи имеют право на оказание им медицинскими организациями государственной и муниципальной систем здравоохранения бесплатной скорой, в том числе скорой специализированной, медицинской помощи при заболеваниях, несчастных случаях, травмах, отравлениях и других состояниях, требующих срочного медицинского вмешательства, а также медицинской помощи в экстренной форме, оказываемой медицинскими организациями при внезапных острых заболеваниях, состояниях, обострении хронических заболеваний, представляющих угрозу жизни пациента.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Медицинская помощь в неотложной форме (за исключением скорой, в том числе скорой специализированной, медицинской помощи) и плановой форме до получения полиса обязательного медицинского страхования оказывается участникам Государственной программы и членам их семей в соответствии с договорами о предоставлении платных медицинских услуг либо договорами добровольного медицинского страхования.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Департамент здравоохранения Брянской области организует обследование иностранных граждан и лиц без гражданства для определения отсутствия (наличия) ВИЧ-инфекции, а также выдачу сертификата об отсутствии у данного иностранного гражданина заболевания, вызываемого вирусом иммунодефицита человека (ВИЧ-инфекции), обследование и выдачу документов, подтверждающих отсутствие у данного иностранного гражданина заболевания наркоманией, и медицинское освидетельствование в соответствии с </w:t>
      </w:r>
      <w:hyperlink r:id="rId39">
        <w:r>
          <w:rPr>
            <w:rFonts w:eastAsia="Times New Roman" w:cs="Times New Roman" w:ascii="Times New Roman" w:hAnsi="Times New Roman"/>
            <w:sz w:val="28"/>
            <w:szCs w:val="28"/>
          </w:rPr>
          <w:t>Приказом</w:t>
        </w:r>
      </w:hyperlink>
      <w:r>
        <w:rPr>
          <w:rFonts w:eastAsia="Times New Roman" w:cs="Times New Roman" w:ascii="Times New Roman" w:hAnsi="Times New Roman"/>
          <w:sz w:val="28"/>
          <w:szCs w:val="28"/>
        </w:rPr>
        <w:t xml:space="preserve"> Министерства здравоохранения Российской Федерации от 29 июня 2015 года № 384н «Об утверждении перечня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иностранных граждан и лиц без гражданства, или вида на жительство, или патента, или разрешения на работу в Российской Федерации, а также порядка подтверждения их наличия или отсутствия, а также формы медицинского заключения о наличии (об отсутствии) указанных заболеваний».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Участники государственной программы и члены их семей для получения медицинских услуг обращаются в медицинские организации по месту размещения.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Подробная информация об оказании услуг в сфере здравоохранения размещена на официальном сайте департамента здравоохранения Брянской области: http://www.brkmed.ru.</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соответствии с Федеральным </w:t>
      </w:r>
      <w:hyperlink r:id="rId40">
        <w:r>
          <w:rPr>
            <w:rFonts w:eastAsia="Times New Roman" w:cs="Times New Roman" w:ascii="Times New Roman" w:hAnsi="Times New Roman"/>
            <w:sz w:val="28"/>
            <w:szCs w:val="28"/>
          </w:rPr>
          <w:t>законом</w:t>
        </w:r>
      </w:hyperlink>
      <w:r>
        <w:rPr>
          <w:rFonts w:eastAsia="Times New Roman" w:cs="Times New Roman" w:ascii="Times New Roman" w:hAnsi="Times New Roman"/>
          <w:sz w:val="28"/>
          <w:szCs w:val="28"/>
        </w:rPr>
        <w:t xml:space="preserve"> от 19 мая 1995 года № 81-ФЗ      «О государственных пособиях гражданам, имеющим детей» установлены различные виды пособий лицам, имеющим детей. Действие данного закона распространяется 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 Российской Федерации, проживающих на территории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таможенных органах, и гражданский персонал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постоянно проживающих на территории Российской Федерации иностранных граждан и лиц без гражданства, а также беженцев;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временно проживающих на территории Российской Федерации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Устанавливаются следующие виды государственных пособий:</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пособие по беременности и родам;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женщинам, вставшим на учет в медицинских организациях в ранние сроки беременности;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при рождении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по уходу за ребенком;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на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при передаче ребенка на воспитание в семью;</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беременной жене военнослужащего, проходящего военную службу по призыву;</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на ребенка военнослужащего, проходящего военную службу по призыву.</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соответствии с </w:t>
      </w:r>
      <w:hyperlink r:id="rId41">
        <w:r>
          <w:rPr>
            <w:rFonts w:eastAsia="Times New Roman" w:cs="Times New Roman" w:ascii="Times New Roman" w:hAnsi="Times New Roman"/>
            <w:sz w:val="28"/>
            <w:szCs w:val="28"/>
          </w:rPr>
          <w:t>Законом</w:t>
        </w:r>
      </w:hyperlink>
      <w:r>
        <w:rPr>
          <w:rFonts w:eastAsia="Times New Roman" w:cs="Times New Roman" w:ascii="Times New Roman" w:hAnsi="Times New Roman"/>
          <w:sz w:val="28"/>
          <w:szCs w:val="28"/>
        </w:rPr>
        <w:t xml:space="preserve"> Брянской области от 20 февраля 2008 года    № 12-З «Об охране семьи, материнства, отцовства и детства в Брянской области» также установлены различные виды пособий лицам, имеющим детей, на региональном уровне.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Действие данного закона распространяется на: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граждан Российской Федерации, зарегистрированных и проживающих на территории Брянской области;</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постоянно проживающих на территории Брянской области иностранных граждан и лиц без гражданства, а также беженцев;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временно проживающих на территории Брянской области и подлежащих обязательному социальному страхованию иностранных граждан и лиц без гражданства.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Согласно вышеназванному закону устанавливаются следующие виды пособий и иные выплаты: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зарегистрированной многодетной семье при рождении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единовременное пособие на школьников из многодетной малообеспеченной семьи к началу учебного года;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ежемесячное пособие на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дополнительное единовременное пособие при рождении ребенка;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дополнительное ежемесячное пособие по уходу за ребенком-инвалидом;</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ежемесячная денежная выплата при рождении (усыновлении) третьего ребенка или последующих детей, родившихся (усыновленных) после            31 декабря 2012 года.</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Официальный сайт департамента семьи, социальной и демографической политики Брянской области: http://uszn032.ru.</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Порядок</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осуществления компенсационных и иных выплат</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соответствии с пунктом 20 Государственной программы участник Государственной программы и члены его семьи имеют право на получение государственных гарантий и социальной поддержки, предоставляемых </w:t>
        <w:br/>
        <w:t>за счет средств федерального бюджета в зависимости от территории вселения.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Согласно </w:t>
      </w:r>
      <w:hyperlink r:id="rId42">
        <w:r>
          <w:rPr>
            <w:rFonts w:eastAsia="Times New Roman" w:cs="Times New Roman" w:ascii="Times New Roman" w:hAnsi="Times New Roman"/>
            <w:sz w:val="28"/>
            <w:szCs w:val="28"/>
          </w:rPr>
          <w:t>пункту 22</w:t>
        </w:r>
      </w:hyperlink>
      <w:r>
        <w:rPr>
          <w:rFonts w:eastAsia="Times New Roman" w:cs="Times New Roman" w:ascii="Times New Roman" w:hAnsi="Times New Roman"/>
          <w:sz w:val="28"/>
          <w:szCs w:val="28"/>
        </w:rPr>
        <w:t xml:space="preserve"> Государственной программы участнику Государственной программы и членам его семьи, переселяющимся </w:t>
        <w:br/>
        <w:t xml:space="preserve">на постоянное место жительства в Российскую Федерацию на территории, </w:t>
        <w:br/>
        <w:t xml:space="preserve">не относящиеся к территориям приоритетного заселения, предоставляются государственные гарантии и социальная поддержка в соответствии </w:t>
        <w:br/>
        <w:t>с подпунктами «а» – «в» пункта 20 Государственной программы.</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Таким образом, участник Государственной программы и члены его семьи имеют право на получение государственных гарантий и социальной поддержки, предусмотренных Государственной программой, в том числе:</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а) компенсацию за счет средств федерального бюджета расходов на переезд к будущему месту проживания, включая оплату проезда и провоз личных вещей, в соответствии с </w:t>
      </w:r>
      <w:hyperlink r:id="rId43">
        <w:r>
          <w:rPr>
            <w:rFonts w:eastAsia="Times New Roman" w:cs="Times New Roman" w:ascii="Times New Roman" w:hAnsi="Times New Roman"/>
            <w:sz w:val="28"/>
            <w:szCs w:val="28"/>
          </w:rPr>
          <w:t>Постановлением</w:t>
        </w:r>
      </w:hyperlink>
      <w:r>
        <w:rPr>
          <w:rFonts w:eastAsia="Times New Roman" w:cs="Times New Roman" w:ascii="Times New Roman" w:hAnsi="Times New Roman"/>
          <w:sz w:val="28"/>
          <w:szCs w:val="28"/>
        </w:rPr>
        <w:t xml:space="preserve"> Правительства Российской Федерации от 10 марта 2007 года № 150 №  «Об утверждении Правил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компенсации расходов на переезд к будущему месту проживания»;</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б) компенсацию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в соответствии с </w:t>
      </w:r>
      <w:hyperlink r:id="rId44">
        <w:r>
          <w:rPr>
            <w:rFonts w:eastAsia="Times New Roman" w:cs="Times New Roman" w:ascii="Times New Roman" w:hAnsi="Times New Roman"/>
            <w:sz w:val="28"/>
            <w:szCs w:val="28"/>
          </w:rPr>
          <w:t>Постановлением</w:t>
        </w:r>
      </w:hyperlink>
      <w:r>
        <w:rPr>
          <w:rFonts w:eastAsia="Times New Roman" w:cs="Times New Roman" w:ascii="Times New Roman" w:hAnsi="Times New Roman"/>
          <w:sz w:val="28"/>
          <w:szCs w:val="28"/>
        </w:rPr>
        <w:t xml:space="preserve"> Правительства Российской Федерации от 25 сентября 2008 года № 715 «Об утверждении Правил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компенсации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w:t>
      </w:r>
    </w:p>
    <w:p>
      <w:pPr>
        <w:pStyle w:val="Normal"/>
        <w:widowControl w:val="false"/>
        <w:spacing w:lineRule="auto" w:line="240" w:before="0" w:after="0"/>
        <w:ind w:right="-144"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единовременную выплату – подъемные за счет средств федерального бюджета в соответствии с постановлением Правительства Российской Федерации от 27 марта 2013 года № 270 «О порядке выплаты подъемных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Порядок</w:t>
      </w:r>
    </w:p>
    <w:p>
      <w:pPr>
        <w:pStyle w:val="Normal"/>
        <w:widowControl w:val="false"/>
        <w:spacing w:lineRule="auto" w:line="240" w:before="0" w:after="0"/>
        <w:ind w:firstLine="720"/>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t>таможенного оформления ввозимого имущества</w:t>
      </w:r>
    </w:p>
    <w:p>
      <w:pPr>
        <w:pStyle w:val="Normal"/>
        <w:widowControl w:val="false"/>
        <w:spacing w:lineRule="auto" w:line="240" w:before="0" w:after="0"/>
        <w:ind w:firstLine="72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В соответствии с Федеральным </w:t>
      </w:r>
      <w:hyperlink r:id="rId45">
        <w:r>
          <w:rPr>
            <w:rFonts w:eastAsia="Times New Roman" w:cs="Times New Roman" w:ascii="Times New Roman" w:hAnsi="Times New Roman"/>
            <w:sz w:val="28"/>
            <w:szCs w:val="28"/>
          </w:rPr>
          <w:t>законом</w:t>
        </w:r>
      </w:hyperlink>
      <w:r>
        <w:rPr>
          <w:rFonts w:eastAsia="Times New Roman" w:cs="Times New Roman" w:ascii="Times New Roman" w:hAnsi="Times New Roman"/>
          <w:sz w:val="28"/>
          <w:szCs w:val="28"/>
        </w:rPr>
        <w:t xml:space="preserve"> от 27 ноября 2010 года № 311-ФЗ «О таможенном регулировании в Российской Федерации», </w:t>
      </w:r>
      <w:hyperlink r:id="rId46">
        <w:r>
          <w:rPr>
            <w:rFonts w:eastAsia="Times New Roman" w:cs="Times New Roman" w:ascii="Times New Roman" w:hAnsi="Times New Roman"/>
            <w:sz w:val="28"/>
            <w:szCs w:val="28"/>
          </w:rPr>
          <w:t>решением</w:t>
        </w:r>
      </w:hyperlink>
      <w:r>
        <w:rPr>
          <w:rFonts w:eastAsia="Times New Roman" w:cs="Times New Roman" w:ascii="Times New Roman" w:hAnsi="Times New Roman"/>
          <w:sz w:val="28"/>
          <w:szCs w:val="28"/>
        </w:rPr>
        <w:t xml:space="preserve">  Совета Евразийской экономической комиссии от 20 декабря 2017 года № 107 «Об отдельных вопросах, связанных с товарами для личного пользования» таможенное оформление товаров и транспортных средств, принадлежащих участникам  Программы и членам их семей, переселяющимся в Российскую Федерацию из иностранных государств на постоянное место жительства, производится в упрощенном льготном порядке без уплаты таможенных пошлин и налогов.</w:t>
      </w:r>
    </w:p>
    <w:p>
      <w:pPr>
        <w:pStyle w:val="Normal"/>
        <w:widowControl w:val="false"/>
        <w:spacing w:lineRule="auto" w:line="240" w:before="0" w:after="0"/>
        <w:ind w:firstLine="709"/>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таможенного оформления (декларирования) ввозимых в Брянскую область контейнеров с личным имуществом участникам Государственной программы необходимо обратиться в подразделение Брянской таможни по месту проживания (пребывания).</w:t>
      </w:r>
    </w:p>
    <w:p>
      <w:pPr>
        <w:pStyle w:val="Normal"/>
        <w:widowControl w:val="false"/>
        <w:spacing w:lineRule="auto" w:line="240" w:before="0" w:after="0"/>
        <w:ind w:firstLine="709"/>
        <w:jc w:val="both"/>
        <w:rPr>
          <w:rFonts w:ascii="Times New Roman" w:hAnsi="Times New Roman" w:eastAsia="Times New Roman" w:cs="Times New Roman"/>
          <w:sz w:val="24"/>
          <w:szCs w:val="24"/>
        </w:rPr>
      </w:pPr>
      <w:r>
        <w:rPr>
          <w:rFonts w:eastAsia="Times New Roman" w:cs="Times New Roman" w:ascii="Times New Roman" w:hAnsi="Times New Roman"/>
          <w:sz w:val="28"/>
          <w:szCs w:val="28"/>
        </w:rPr>
        <w:t xml:space="preserve">Для таможенного оформления (декларирования) ввозимых в Брянскую область автомобилей участникам Государственной программы независимо от места проживания (пребывания) необходимо обратиться на Брянский таможенный пост по адресу: 241029, Брянская обл., г. Брянск, ул. Крахмалева, д. 41, тел.: (4832) 67-17-58. Телефон доверия Брянской таможни:                         (4832) 67-74-03.  </w:t>
      </w:r>
    </w:p>
    <w:sectPr>
      <w:headerReference w:type="default" r:id="rId47"/>
      <w:type w:val="nextPage"/>
      <w:pgSz w:w="11906" w:h="16838"/>
      <w:pgMar w:left="1418" w:right="851" w:header="709"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Courier New">
    <w:charset w:val="cc"/>
    <w:family w:val="roman"/>
    <w:pitch w:val="variable"/>
  </w:font>
  <w:font w:name="Consolas">
    <w:charset w:val="cc"/>
    <w:family w:val="roman"/>
    <w:pitch w:val="variable"/>
  </w:font>
  <w:font w:name="Segoe UI">
    <w:charset w:val="cc"/>
    <w:family w:val="roman"/>
    <w:pitch w:val="variable"/>
  </w:font>
  <w:font w:name="Calibri Light">
    <w:charset w:val="cc"/>
    <w:family w:val="roman"/>
    <w:pitch w:val="variable"/>
  </w:font>
  <w:font w:name="Symbol">
    <w:charset w:val="cc"/>
    <w:family w:val="roman"/>
    <w:pitch w:val="variable"/>
  </w:font>
  <w:font w:name="Wingdings">
    <w:charset w:val="cc"/>
    <w:family w:val="roman"/>
    <w:pitch w:val="variable"/>
  </w:font>
  <w:font w:name="OpenSymbol">
    <w:altName w:val="Arial Unicode MS"/>
    <w:charset w:val="cc"/>
    <w:family w:val="roman"/>
    <w:pitch w:val="variable"/>
  </w:font>
  <w:font w:name="Verdana">
    <w:charset w:val="cc"/>
    <w:family w:val="roman"/>
    <w:pitch w:val="variable"/>
  </w:font>
  <w:font w:name="Tahoma">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4"/>
      <w:jc w:val="center"/>
      <w:rPr/>
    </w:pPr>
    <w:r>
      <w:rPr/>
    </w:r>
  </w:p>
  <w:p>
    <w:pPr>
      <w:pStyle w:val="Style44"/>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4"/>
      <w:jc w:val="center"/>
      <w:rPr/>
    </w:pPr>
    <w:r>
      <w:rPr/>
    </w:r>
  </w:p>
  <w:p>
    <w:pPr>
      <w:pStyle w:val="Style44"/>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4"/>
      <w:jc w:val="center"/>
      <w:rPr/>
    </w:pPr>
    <w:r>
      <w:rPr/>
    </w:r>
  </w:p>
  <w:p>
    <w:pPr>
      <w:pStyle w:val="Style44"/>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4"/>
      <w:jc w:val="center"/>
      <w:rPr/>
    </w:pPr>
    <w:r>
      <w:rPr/>
    </w:r>
  </w:p>
  <w:p>
    <w:pPr>
      <w:pStyle w:val="Style44"/>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4"/>
      <w:jc w:val="center"/>
      <w:rPr/>
    </w:pPr>
    <w:r>
      <w:rPr/>
    </w:r>
  </w:p>
  <w:p>
    <w:pPr>
      <w:pStyle w:val="Style44"/>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link w:val="10"/>
    <w:qFormat/>
    <w:rsid w:val="00210e85"/>
    <w:pPr>
      <w:keepNext w:val="true"/>
      <w:spacing w:lineRule="auto" w:line="240" w:before="240" w:after="60"/>
      <w:outlineLvl w:val="0"/>
    </w:pPr>
    <w:rPr>
      <w:rFonts w:ascii="Arial" w:hAnsi="Arial" w:eastAsia="Times New Roman" w:cs="Times New Roman"/>
      <w:b/>
      <w:bCs/>
      <w:kern w:val="2"/>
      <w:sz w:val="32"/>
      <w:szCs w:val="32"/>
      <w:lang w:eastAsia="ru-RU"/>
    </w:rPr>
  </w:style>
  <w:style w:type="paragraph" w:styleId="2">
    <w:name w:val="Heading 2"/>
    <w:basedOn w:val="Normal"/>
    <w:next w:val="Normal"/>
    <w:link w:val="20"/>
    <w:semiHidden/>
    <w:unhideWhenUsed/>
    <w:qFormat/>
    <w:rsid w:val="00210e85"/>
    <w:pPr>
      <w:keepNext w:val="true"/>
      <w:tabs>
        <w:tab w:val="clear" w:pos="708"/>
        <w:tab w:val="left" w:pos="576" w:leader="none"/>
      </w:tabs>
      <w:suppressAutoHyphens w:val="true"/>
      <w:spacing w:lineRule="auto" w:line="240" w:before="0" w:after="0"/>
      <w:ind w:left="576" w:hanging="576"/>
      <w:outlineLvl w:val="1"/>
    </w:pPr>
    <w:rPr>
      <w:rFonts w:ascii="Times New Roman" w:hAnsi="Times New Roman" w:eastAsia="Times New Roman" w:cs="Times New Roman"/>
      <w:b/>
      <w:bCs/>
      <w:spacing w:val="1"/>
      <w:sz w:val="28"/>
      <w:szCs w:val="28"/>
      <w:lang w:eastAsia="ar-SA"/>
    </w:rPr>
  </w:style>
  <w:style w:type="paragraph" w:styleId="3">
    <w:name w:val="Heading 3"/>
    <w:basedOn w:val="Normal"/>
    <w:next w:val="Normal"/>
    <w:link w:val="30"/>
    <w:semiHidden/>
    <w:unhideWhenUsed/>
    <w:qFormat/>
    <w:rsid w:val="00210e85"/>
    <w:pPr>
      <w:keepNext w:val="true"/>
      <w:spacing w:lineRule="auto" w:line="240" w:before="240" w:after="60"/>
      <w:outlineLvl w:val="2"/>
    </w:pPr>
    <w:rPr>
      <w:rFonts w:ascii="Arial" w:hAnsi="Arial" w:eastAsia="Times New Roman" w:cs="Times New Roman"/>
      <w:b/>
      <w:bCs/>
      <w:sz w:val="26"/>
      <w:szCs w:val="26"/>
      <w:lang w:eastAsia="ru-RU"/>
    </w:rPr>
  </w:style>
  <w:style w:type="paragraph" w:styleId="4">
    <w:name w:val="Heading 4"/>
    <w:basedOn w:val="Normal"/>
    <w:next w:val="Normal"/>
    <w:link w:val="40"/>
    <w:semiHidden/>
    <w:unhideWhenUsed/>
    <w:qFormat/>
    <w:rsid w:val="00210e85"/>
    <w:pPr>
      <w:keepNext w:val="true"/>
      <w:spacing w:lineRule="auto" w:line="240" w:before="240" w:after="60"/>
      <w:outlineLvl w:val="3"/>
    </w:pPr>
    <w:rPr>
      <w:rFonts w:ascii="Calibri" w:hAnsi="Calibri" w:eastAsia="Times New Roman" w:cs="Times New Roman"/>
      <w:b/>
      <w:bCs/>
      <w:sz w:val="28"/>
      <w:szCs w:val="28"/>
      <w:lang w:eastAsia="ru-RU"/>
    </w:rPr>
  </w:style>
  <w:style w:type="paragraph" w:styleId="6">
    <w:name w:val="Heading 6"/>
    <w:basedOn w:val="Normal"/>
    <w:next w:val="Normal"/>
    <w:link w:val="60"/>
    <w:semiHidden/>
    <w:unhideWhenUsed/>
    <w:qFormat/>
    <w:rsid w:val="00210e85"/>
    <w:pPr>
      <w:spacing w:lineRule="auto" w:line="240" w:before="240" w:after="60"/>
      <w:outlineLvl w:val="5"/>
    </w:pPr>
    <w:rPr>
      <w:rFonts w:ascii="Calibri" w:hAnsi="Calibri" w:eastAsia="Times New Roman" w:cs="Times New Roman"/>
      <w:b/>
      <w:bCs/>
      <w:lang w:eastAsia="ru-RU"/>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210e85"/>
    <w:rPr>
      <w:rFonts w:ascii="Arial" w:hAnsi="Arial" w:eastAsia="Times New Roman" w:cs="Times New Roman"/>
      <w:b/>
      <w:bCs/>
      <w:kern w:val="2"/>
      <w:sz w:val="32"/>
      <w:szCs w:val="32"/>
      <w:lang w:eastAsia="ru-RU"/>
    </w:rPr>
  </w:style>
  <w:style w:type="character" w:styleId="21" w:customStyle="1">
    <w:name w:val="Заголовок 2 Знак"/>
    <w:basedOn w:val="DefaultParagraphFont"/>
    <w:link w:val="2"/>
    <w:semiHidden/>
    <w:qFormat/>
    <w:rsid w:val="00210e85"/>
    <w:rPr>
      <w:rFonts w:ascii="Times New Roman" w:hAnsi="Times New Roman" w:eastAsia="Times New Roman" w:cs="Times New Roman"/>
      <w:b/>
      <w:bCs/>
      <w:spacing w:val="1"/>
      <w:sz w:val="28"/>
      <w:szCs w:val="28"/>
      <w:lang w:eastAsia="ar-SA"/>
    </w:rPr>
  </w:style>
  <w:style w:type="character" w:styleId="31" w:customStyle="1">
    <w:name w:val="Заголовок 3 Знак"/>
    <w:basedOn w:val="DefaultParagraphFont"/>
    <w:link w:val="3"/>
    <w:semiHidden/>
    <w:qFormat/>
    <w:rsid w:val="00210e85"/>
    <w:rPr>
      <w:rFonts w:ascii="Arial" w:hAnsi="Arial" w:eastAsia="Times New Roman" w:cs="Times New Roman"/>
      <w:b/>
      <w:bCs/>
      <w:sz w:val="26"/>
      <w:szCs w:val="26"/>
      <w:lang w:eastAsia="ru-RU"/>
    </w:rPr>
  </w:style>
  <w:style w:type="character" w:styleId="41" w:customStyle="1">
    <w:name w:val="Заголовок 4 Знак"/>
    <w:basedOn w:val="DefaultParagraphFont"/>
    <w:link w:val="4"/>
    <w:semiHidden/>
    <w:qFormat/>
    <w:rsid w:val="00210e85"/>
    <w:rPr>
      <w:rFonts w:ascii="Calibri" w:hAnsi="Calibri" w:eastAsia="Times New Roman" w:cs="Times New Roman"/>
      <w:b/>
      <w:bCs/>
      <w:sz w:val="28"/>
      <w:szCs w:val="28"/>
      <w:lang w:eastAsia="ru-RU"/>
    </w:rPr>
  </w:style>
  <w:style w:type="character" w:styleId="61" w:customStyle="1">
    <w:name w:val="Заголовок 6 Знак"/>
    <w:basedOn w:val="DefaultParagraphFont"/>
    <w:link w:val="6"/>
    <w:semiHidden/>
    <w:qFormat/>
    <w:rsid w:val="00210e85"/>
    <w:rPr>
      <w:rFonts w:ascii="Calibri" w:hAnsi="Calibri" w:eastAsia="Times New Roman" w:cs="Times New Roman"/>
      <w:b/>
      <w:bCs/>
      <w:lang w:eastAsia="ru-RU"/>
    </w:rPr>
  </w:style>
  <w:style w:type="character" w:styleId="Style9">
    <w:name w:val="Интернет-ссылка"/>
    <w:uiPriority w:val="99"/>
    <w:semiHidden/>
    <w:unhideWhenUsed/>
    <w:rsid w:val="00210e85"/>
    <w:rPr>
      <w:color w:val="0000FF"/>
      <w:u w:val="single"/>
    </w:rPr>
  </w:style>
  <w:style w:type="character" w:styleId="Style10">
    <w:name w:val="Посещённая гиперссылка"/>
    <w:basedOn w:val="DefaultParagraphFont"/>
    <w:uiPriority w:val="99"/>
    <w:semiHidden/>
    <w:unhideWhenUsed/>
    <w:rsid w:val="00210e85"/>
    <w:rPr>
      <w:color w:val="954F72" w:themeColor="followedHyperlink"/>
      <w:u w:val="single"/>
    </w:rPr>
  </w:style>
  <w:style w:type="character" w:styleId="HTMLTypewriter">
    <w:name w:val="HTML Typewriter"/>
    <w:uiPriority w:val="99"/>
    <w:semiHidden/>
    <w:unhideWhenUsed/>
    <w:qFormat/>
    <w:rsid w:val="00210e85"/>
    <w:rPr>
      <w:rFonts w:ascii="Courier New" w:hAnsi="Courier New" w:eastAsia="Times New Roman" w:cs="Courier New"/>
      <w:sz w:val="20"/>
      <w:szCs w:val="20"/>
    </w:rPr>
  </w:style>
  <w:style w:type="character" w:styleId="Style11" w:customStyle="1">
    <w:name w:val="Обычный (веб) Знак"/>
    <w:link w:val="a6"/>
    <w:uiPriority w:val="99"/>
    <w:qFormat/>
    <w:locked/>
    <w:rsid w:val="00210e85"/>
    <w:rPr>
      <w:rFonts w:ascii="Times New Roman" w:hAnsi="Times New Roman" w:eastAsia="Times New Roman" w:cs="Times New Roman"/>
      <w:sz w:val="24"/>
      <w:szCs w:val="24"/>
    </w:rPr>
  </w:style>
  <w:style w:type="character" w:styleId="Style12" w:customStyle="1">
    <w:name w:val="Текст сноски Знак"/>
    <w:basedOn w:val="DefaultParagraphFont"/>
    <w:link w:val="a8"/>
    <w:uiPriority w:val="99"/>
    <w:semiHidden/>
    <w:qFormat/>
    <w:locked/>
    <w:rsid w:val="00210e85"/>
    <w:rPr>
      <w:rFonts w:ascii="Times New Roman" w:hAnsi="Times New Roman" w:eastAsia="Times New Roman" w:cs="Times New Roman"/>
    </w:rPr>
  </w:style>
  <w:style w:type="character" w:styleId="Style13" w:customStyle="1">
    <w:name w:val="Текст примечания Знак"/>
    <w:basedOn w:val="DefaultParagraphFont"/>
    <w:link w:val="aa"/>
    <w:uiPriority w:val="99"/>
    <w:semiHidden/>
    <w:qFormat/>
    <w:locked/>
    <w:rsid w:val="00210e85"/>
    <w:rPr/>
  </w:style>
  <w:style w:type="character" w:styleId="Style14" w:customStyle="1">
    <w:name w:val="Верхний колонтитул Знак"/>
    <w:basedOn w:val="DefaultParagraphFont"/>
    <w:link w:val="ac"/>
    <w:uiPriority w:val="99"/>
    <w:qFormat/>
    <w:locked/>
    <w:rsid w:val="00210e85"/>
    <w:rPr>
      <w:rFonts w:ascii="Times New Roman" w:hAnsi="Times New Roman" w:eastAsia="Times New Roman" w:cs="Times New Roman"/>
      <w:sz w:val="24"/>
      <w:szCs w:val="24"/>
    </w:rPr>
  </w:style>
  <w:style w:type="character" w:styleId="Style15" w:customStyle="1">
    <w:name w:val="Нижний колонтитул Знак"/>
    <w:basedOn w:val="DefaultParagraphFont"/>
    <w:link w:val="ae"/>
    <w:uiPriority w:val="99"/>
    <w:qFormat/>
    <w:locked/>
    <w:rsid w:val="00210e85"/>
    <w:rPr>
      <w:rFonts w:ascii="Times New Roman" w:hAnsi="Times New Roman" w:eastAsia="Times New Roman" w:cs="Times New Roman"/>
      <w:sz w:val="24"/>
      <w:szCs w:val="24"/>
    </w:rPr>
  </w:style>
  <w:style w:type="character" w:styleId="Style16" w:customStyle="1">
    <w:name w:val="Основной текст Знак"/>
    <w:basedOn w:val="DefaultParagraphFont"/>
    <w:link w:val="af"/>
    <w:uiPriority w:val="99"/>
    <w:semiHidden/>
    <w:qFormat/>
    <w:rsid w:val="00210e85"/>
    <w:rPr>
      <w:rFonts w:ascii="Times New Roman" w:hAnsi="Times New Roman" w:eastAsia="Times New Roman" w:cs="Times New Roman"/>
      <w:sz w:val="24"/>
      <w:szCs w:val="24"/>
      <w:lang w:eastAsia="ru-RU"/>
    </w:rPr>
  </w:style>
  <w:style w:type="character" w:styleId="Style17" w:customStyle="1">
    <w:name w:val="Заголовок Знак"/>
    <w:basedOn w:val="DefaultParagraphFont"/>
    <w:link w:val="af2"/>
    <w:qFormat/>
    <w:locked/>
    <w:rsid w:val="00210e85"/>
    <w:rPr>
      <w:rFonts w:ascii="Times New Roman" w:hAnsi="Times New Roman" w:eastAsia="Times New Roman" w:cs="Times New Roman"/>
      <w:b/>
      <w:bCs/>
      <w:sz w:val="26"/>
      <w:szCs w:val="24"/>
    </w:rPr>
  </w:style>
  <w:style w:type="character" w:styleId="Style18" w:customStyle="1">
    <w:name w:val="Основной текст с отступом Знак"/>
    <w:basedOn w:val="DefaultParagraphFont"/>
    <w:link w:val="af4"/>
    <w:semiHidden/>
    <w:qFormat/>
    <w:locked/>
    <w:rsid w:val="00210e85"/>
    <w:rPr>
      <w:rFonts w:ascii="Times New Roman" w:hAnsi="Times New Roman" w:eastAsia="Times New Roman" w:cs="Times New Roman"/>
      <w:sz w:val="24"/>
      <w:szCs w:val="24"/>
    </w:rPr>
  </w:style>
  <w:style w:type="character" w:styleId="22" w:customStyle="1">
    <w:name w:val="Основной текст 2 Знак"/>
    <w:basedOn w:val="DefaultParagraphFont"/>
    <w:link w:val="22"/>
    <w:semiHidden/>
    <w:qFormat/>
    <w:locked/>
    <w:rsid w:val="00210e85"/>
    <w:rPr>
      <w:rFonts w:ascii="Times New Roman" w:hAnsi="Times New Roman" w:eastAsia="Times New Roman" w:cs="Times New Roman"/>
      <w:sz w:val="24"/>
      <w:szCs w:val="24"/>
      <w:lang w:eastAsia="ar-SA"/>
    </w:rPr>
  </w:style>
  <w:style w:type="character" w:styleId="23" w:customStyle="1">
    <w:name w:val="Основной текст с отступом 2 Знак"/>
    <w:basedOn w:val="DefaultParagraphFont"/>
    <w:link w:val="24"/>
    <w:semiHidden/>
    <w:qFormat/>
    <w:locked/>
    <w:rsid w:val="00210e85"/>
    <w:rPr>
      <w:rFonts w:ascii="Times New Roman" w:hAnsi="Times New Roman" w:eastAsia="Times New Roman" w:cs="Times New Roman"/>
      <w:sz w:val="24"/>
      <w:szCs w:val="24"/>
      <w:lang w:eastAsia="ar-SA"/>
    </w:rPr>
  </w:style>
  <w:style w:type="character" w:styleId="Style19" w:customStyle="1">
    <w:name w:val="Текст Знак"/>
    <w:basedOn w:val="DefaultParagraphFont"/>
    <w:link w:val="af6"/>
    <w:uiPriority w:val="99"/>
    <w:semiHidden/>
    <w:qFormat/>
    <w:locked/>
    <w:rsid w:val="00210e85"/>
    <w:rPr>
      <w:rFonts w:ascii="Consolas" w:hAnsi="Consolas" w:cs="Consolas"/>
      <w:sz w:val="21"/>
      <w:szCs w:val="21"/>
    </w:rPr>
  </w:style>
  <w:style w:type="character" w:styleId="12" w:customStyle="1">
    <w:name w:val="Текст примечания Знак1"/>
    <w:basedOn w:val="DefaultParagraphFont"/>
    <w:uiPriority w:val="99"/>
    <w:semiHidden/>
    <w:qFormat/>
    <w:rsid w:val="00210e85"/>
    <w:rPr>
      <w:sz w:val="20"/>
      <w:szCs w:val="20"/>
    </w:rPr>
  </w:style>
  <w:style w:type="character" w:styleId="Style20" w:customStyle="1">
    <w:name w:val="Тема примечания Знак"/>
    <w:basedOn w:val="Style13"/>
    <w:link w:val="af8"/>
    <w:uiPriority w:val="99"/>
    <w:semiHidden/>
    <w:qFormat/>
    <w:locked/>
    <w:rsid w:val="00210e85"/>
    <w:rPr>
      <w:b/>
      <w:bCs/>
    </w:rPr>
  </w:style>
  <w:style w:type="character" w:styleId="Style21" w:customStyle="1">
    <w:name w:val="Текст выноски Знак"/>
    <w:basedOn w:val="DefaultParagraphFont"/>
    <w:link w:val="afa"/>
    <w:uiPriority w:val="99"/>
    <w:semiHidden/>
    <w:qFormat/>
    <w:locked/>
    <w:rsid w:val="00210e85"/>
    <w:rPr>
      <w:rFonts w:ascii="Segoe UI" w:hAnsi="Segoe UI" w:eastAsia="Times New Roman" w:cs="Segoe UI"/>
      <w:sz w:val="18"/>
      <w:szCs w:val="18"/>
    </w:rPr>
  </w:style>
  <w:style w:type="character" w:styleId="ConsPlusNormal" w:customStyle="1">
    <w:name w:val="ConsPlusNormal Знак"/>
    <w:link w:val="ConsPlusNormal"/>
    <w:qFormat/>
    <w:locked/>
    <w:rsid w:val="00210e85"/>
    <w:rPr>
      <w:rFonts w:ascii="Calibri" w:hAnsi="Calibri" w:eastAsia="Times New Roman" w:cs="Calibri"/>
      <w:szCs w:val="20"/>
      <w:lang w:eastAsia="ru-RU"/>
    </w:rPr>
  </w:style>
  <w:style w:type="character" w:styleId="Style22">
    <w:name w:val="Привязка сноски"/>
    <w:rPr>
      <w:vertAlign w:val="superscript"/>
    </w:rPr>
  </w:style>
  <w:style w:type="character" w:styleId="FootnoteCharacters">
    <w:name w:val="Footnote Characters"/>
    <w:uiPriority w:val="99"/>
    <w:semiHidden/>
    <w:unhideWhenUsed/>
    <w:qFormat/>
    <w:rsid w:val="00210e85"/>
    <w:rPr>
      <w:vertAlign w:val="superscript"/>
    </w:rPr>
  </w:style>
  <w:style w:type="character" w:styleId="Annotationreference">
    <w:name w:val="annotation reference"/>
    <w:uiPriority w:val="99"/>
    <w:semiHidden/>
    <w:unhideWhenUsed/>
    <w:qFormat/>
    <w:rsid w:val="00210e85"/>
    <w:rPr>
      <w:sz w:val="16"/>
      <w:szCs w:val="16"/>
    </w:rPr>
  </w:style>
  <w:style w:type="character" w:styleId="13" w:customStyle="1">
    <w:name w:val="Основной текст с отступом Знак1"/>
    <w:basedOn w:val="DefaultParagraphFont"/>
    <w:semiHidden/>
    <w:qFormat/>
    <w:rsid w:val="00210e85"/>
    <w:rPr/>
  </w:style>
  <w:style w:type="character" w:styleId="14" w:customStyle="1">
    <w:name w:val="Заголовок Знак1"/>
    <w:basedOn w:val="DefaultParagraphFont"/>
    <w:uiPriority w:val="10"/>
    <w:qFormat/>
    <w:rsid w:val="00210e85"/>
    <w:rPr>
      <w:rFonts w:ascii="Calibri Light" w:hAnsi="Calibri Light" w:eastAsia="" w:cs="" w:asciiTheme="majorHAnsi" w:cstheme="majorBidi" w:eastAsiaTheme="majorEastAsia" w:hAnsiTheme="majorHAnsi"/>
      <w:spacing w:val="-10"/>
      <w:kern w:val="2"/>
      <w:sz w:val="56"/>
      <w:szCs w:val="56"/>
    </w:rPr>
  </w:style>
  <w:style w:type="character" w:styleId="15" w:customStyle="1">
    <w:name w:val="Название Знак1"/>
    <w:basedOn w:val="DefaultParagraphFont"/>
    <w:qFormat/>
    <w:rsid w:val="00210e85"/>
    <w:rPr>
      <w:rFonts w:ascii="Calibri Light" w:hAnsi="Calibri Light" w:eastAsia="" w:cs="" w:asciiTheme="majorHAnsi" w:cstheme="majorBidi" w:eastAsiaTheme="majorEastAsia" w:hAnsiTheme="majorHAnsi"/>
      <w:color w:val="323E4F" w:themeColor="text2" w:themeShade="bf"/>
      <w:spacing w:val="5"/>
      <w:kern w:val="2"/>
      <w:sz w:val="52"/>
      <w:szCs w:val="52"/>
      <w:lang w:eastAsia="ru-RU"/>
    </w:rPr>
  </w:style>
  <w:style w:type="character" w:styleId="16" w:customStyle="1">
    <w:name w:val="Текст Знак1"/>
    <w:basedOn w:val="DefaultParagraphFont"/>
    <w:uiPriority w:val="99"/>
    <w:semiHidden/>
    <w:qFormat/>
    <w:rsid w:val="00210e85"/>
    <w:rPr>
      <w:rFonts w:ascii="Consolas" w:hAnsi="Consolas" w:cs="Consolas"/>
      <w:sz w:val="21"/>
      <w:szCs w:val="21"/>
    </w:rPr>
  </w:style>
  <w:style w:type="character" w:styleId="17" w:customStyle="1">
    <w:name w:val="Верхний колонтитул Знак1"/>
    <w:basedOn w:val="DefaultParagraphFont"/>
    <w:uiPriority w:val="99"/>
    <w:semiHidden/>
    <w:qFormat/>
    <w:rsid w:val="00210e85"/>
    <w:rPr/>
  </w:style>
  <w:style w:type="character" w:styleId="18" w:customStyle="1">
    <w:name w:val="Нижний колонтитул Знак1"/>
    <w:basedOn w:val="DefaultParagraphFont"/>
    <w:uiPriority w:val="99"/>
    <w:semiHidden/>
    <w:qFormat/>
    <w:rsid w:val="00210e85"/>
    <w:rPr/>
  </w:style>
  <w:style w:type="character" w:styleId="19" w:customStyle="1">
    <w:name w:val="Текст выноски Знак1"/>
    <w:basedOn w:val="DefaultParagraphFont"/>
    <w:uiPriority w:val="99"/>
    <w:semiHidden/>
    <w:qFormat/>
    <w:rsid w:val="00210e85"/>
    <w:rPr>
      <w:rFonts w:ascii="Segoe UI" w:hAnsi="Segoe UI" w:cs="Segoe UI"/>
      <w:sz w:val="18"/>
      <w:szCs w:val="18"/>
    </w:rPr>
  </w:style>
  <w:style w:type="character" w:styleId="110" w:customStyle="1">
    <w:name w:val="Текст сноски Знак1"/>
    <w:basedOn w:val="DefaultParagraphFont"/>
    <w:uiPriority w:val="99"/>
    <w:semiHidden/>
    <w:qFormat/>
    <w:rsid w:val="00210e85"/>
    <w:rPr>
      <w:sz w:val="20"/>
      <w:szCs w:val="20"/>
    </w:rPr>
  </w:style>
  <w:style w:type="character" w:styleId="111" w:customStyle="1">
    <w:name w:val="Тема примечания Знак1"/>
    <w:basedOn w:val="12"/>
    <w:uiPriority w:val="99"/>
    <w:semiHidden/>
    <w:qFormat/>
    <w:rsid w:val="00210e85"/>
    <w:rPr>
      <w:b/>
      <w:bCs/>
      <w:sz w:val="20"/>
      <w:szCs w:val="20"/>
    </w:rPr>
  </w:style>
  <w:style w:type="character" w:styleId="WW8Num4z0" w:customStyle="1">
    <w:name w:val="WW8Num4z0"/>
    <w:qFormat/>
    <w:rsid w:val="00210e85"/>
    <w:rPr>
      <w:rFonts w:ascii="Times New Roman" w:hAnsi="Times New Roman" w:cs="Times New Roman"/>
    </w:rPr>
  </w:style>
  <w:style w:type="character" w:styleId="WW8Num5z0" w:customStyle="1">
    <w:name w:val="WW8Num5z0"/>
    <w:qFormat/>
    <w:rsid w:val="00210e85"/>
    <w:rPr>
      <w:rFonts w:ascii="Symbol" w:hAnsi="Symbol"/>
    </w:rPr>
  </w:style>
  <w:style w:type="character" w:styleId="WW8Num5z1" w:customStyle="1">
    <w:name w:val="WW8Num5z1"/>
    <w:qFormat/>
    <w:rsid w:val="00210e85"/>
    <w:rPr>
      <w:rFonts w:ascii="Courier New" w:hAnsi="Courier New" w:cs="Courier New"/>
    </w:rPr>
  </w:style>
  <w:style w:type="character" w:styleId="WW8Num5z2" w:customStyle="1">
    <w:name w:val="WW8Num5z2"/>
    <w:qFormat/>
    <w:rsid w:val="00210e85"/>
    <w:rPr>
      <w:rFonts w:ascii="Wingdings" w:hAnsi="Wingdings"/>
    </w:rPr>
  </w:style>
  <w:style w:type="character" w:styleId="WW8Num6z0" w:customStyle="1">
    <w:name w:val="WW8Num6z0"/>
    <w:qFormat/>
    <w:rsid w:val="00210e85"/>
    <w:rPr>
      <w:rFonts w:ascii="Times New Roman" w:hAnsi="Times New Roman" w:cs="Times New Roman"/>
    </w:rPr>
  </w:style>
  <w:style w:type="character" w:styleId="WW8Num6z1" w:customStyle="1">
    <w:name w:val="WW8Num6z1"/>
    <w:qFormat/>
    <w:rsid w:val="00210e85"/>
    <w:rPr>
      <w:rFonts w:ascii="Courier New" w:hAnsi="Courier New" w:cs="Courier New"/>
    </w:rPr>
  </w:style>
  <w:style w:type="character" w:styleId="WW8Num6z2" w:customStyle="1">
    <w:name w:val="WW8Num6z2"/>
    <w:qFormat/>
    <w:rsid w:val="00210e85"/>
    <w:rPr>
      <w:rFonts w:ascii="Wingdings" w:hAnsi="Wingdings"/>
    </w:rPr>
  </w:style>
  <w:style w:type="character" w:styleId="WW8Num6z3" w:customStyle="1">
    <w:name w:val="WW8Num6z3"/>
    <w:qFormat/>
    <w:rsid w:val="00210e85"/>
    <w:rPr>
      <w:rFonts w:ascii="Symbol" w:hAnsi="Symbol"/>
    </w:rPr>
  </w:style>
  <w:style w:type="character" w:styleId="WW8Num11z1" w:customStyle="1">
    <w:name w:val="WW8Num11z1"/>
    <w:qFormat/>
    <w:rsid w:val="00210e85"/>
    <w:rPr>
      <w:rFonts w:ascii="Courier New" w:hAnsi="Courier New" w:cs="Courier New"/>
    </w:rPr>
  </w:style>
  <w:style w:type="character" w:styleId="WW8Num11z2" w:customStyle="1">
    <w:name w:val="WW8Num11z2"/>
    <w:qFormat/>
    <w:rsid w:val="00210e85"/>
    <w:rPr>
      <w:rFonts w:ascii="Wingdings" w:hAnsi="Wingdings" w:cs="Wingdings"/>
    </w:rPr>
  </w:style>
  <w:style w:type="character" w:styleId="WW8Num11z3" w:customStyle="1">
    <w:name w:val="WW8Num11z3"/>
    <w:qFormat/>
    <w:rsid w:val="00210e85"/>
    <w:rPr>
      <w:rFonts w:ascii="Symbol" w:hAnsi="Symbol" w:cs="Symbol"/>
    </w:rPr>
  </w:style>
  <w:style w:type="character" w:styleId="WW8Num17z1" w:customStyle="1">
    <w:name w:val="WW8Num17z1"/>
    <w:qFormat/>
    <w:rsid w:val="00210e85"/>
    <w:rPr>
      <w:rFonts w:ascii="Courier New" w:hAnsi="Courier New" w:cs="Courier New"/>
    </w:rPr>
  </w:style>
  <w:style w:type="character" w:styleId="WW8Num17z2" w:customStyle="1">
    <w:name w:val="WW8Num17z2"/>
    <w:qFormat/>
    <w:rsid w:val="00210e85"/>
    <w:rPr>
      <w:rFonts w:ascii="Wingdings" w:hAnsi="Wingdings" w:cs="Wingdings"/>
    </w:rPr>
  </w:style>
  <w:style w:type="character" w:styleId="WW8Num17z3" w:customStyle="1">
    <w:name w:val="WW8Num17z3"/>
    <w:qFormat/>
    <w:rsid w:val="00210e85"/>
    <w:rPr>
      <w:rFonts w:ascii="Symbol" w:hAnsi="Symbol" w:cs="Symbol"/>
    </w:rPr>
  </w:style>
  <w:style w:type="character" w:styleId="WW8Num20z0" w:customStyle="1">
    <w:name w:val="WW8Num20z0"/>
    <w:qFormat/>
    <w:rsid w:val="00210e85"/>
    <w:rPr>
      <w:rFonts w:ascii="Times New Roman" w:hAnsi="Times New Roman" w:cs="Times New Roman"/>
    </w:rPr>
  </w:style>
  <w:style w:type="character" w:styleId="WW8Num22z0" w:customStyle="1">
    <w:name w:val="WW8Num22z0"/>
    <w:qFormat/>
    <w:rsid w:val="00210e85"/>
    <w:rPr>
      <w:rFonts w:ascii="Symbol" w:hAnsi="Symbol"/>
    </w:rPr>
  </w:style>
  <w:style w:type="character" w:styleId="WW8Num22z1" w:customStyle="1">
    <w:name w:val="WW8Num22z1"/>
    <w:qFormat/>
    <w:rsid w:val="00210e85"/>
    <w:rPr>
      <w:rFonts w:ascii="Courier New" w:hAnsi="Courier New" w:cs="Courier New"/>
    </w:rPr>
  </w:style>
  <w:style w:type="character" w:styleId="WW8Num22z2" w:customStyle="1">
    <w:name w:val="WW8Num22z2"/>
    <w:qFormat/>
    <w:rsid w:val="00210e85"/>
    <w:rPr>
      <w:rFonts w:ascii="Wingdings" w:hAnsi="Wingdings"/>
    </w:rPr>
  </w:style>
  <w:style w:type="character" w:styleId="WW8NumSt23z0" w:customStyle="1">
    <w:name w:val="WW8NumSt23z0"/>
    <w:qFormat/>
    <w:rsid w:val="00210e85"/>
    <w:rPr>
      <w:rFonts w:ascii="Times New Roman" w:hAnsi="Times New Roman" w:cs="Times New Roman"/>
    </w:rPr>
  </w:style>
  <w:style w:type="character" w:styleId="112" w:customStyle="1">
    <w:name w:val="Основной шрифт абзаца1"/>
    <w:qFormat/>
    <w:rsid w:val="00210e85"/>
    <w:rPr/>
  </w:style>
  <w:style w:type="character" w:styleId="32" w:customStyle="1">
    <w:name w:val="Знак Знак3"/>
    <w:qFormat/>
    <w:rsid w:val="00210e85"/>
    <w:rPr>
      <w:b/>
      <w:bCs/>
      <w:spacing w:val="-1"/>
      <w:sz w:val="28"/>
      <w:szCs w:val="28"/>
      <w:lang w:val="ru-RU" w:eastAsia="ar-SA" w:bidi="ar-SA"/>
    </w:rPr>
  </w:style>
  <w:style w:type="character" w:styleId="113" w:customStyle="1">
    <w:name w:val="Основной текст1 Знак1"/>
    <w:qFormat/>
    <w:rsid w:val="00210e85"/>
    <w:rPr>
      <w:sz w:val="24"/>
      <w:szCs w:val="24"/>
      <w:lang w:eastAsia="ar-SA" w:bidi="ar-SA"/>
    </w:rPr>
  </w:style>
  <w:style w:type="character" w:styleId="24" w:customStyle="1">
    <w:name w:val="Знак Знак2"/>
    <w:qFormat/>
    <w:rsid w:val="00210e85"/>
    <w:rPr>
      <w:rFonts w:ascii="Calibri" w:hAnsi="Calibri" w:eastAsia="Calibri" w:cs="Calibri"/>
      <w:sz w:val="16"/>
      <w:szCs w:val="16"/>
      <w:lang w:val="ru-RU" w:eastAsia="ar-SA" w:bidi="ar-SA"/>
    </w:rPr>
  </w:style>
  <w:style w:type="character" w:styleId="FontStyle20" w:customStyle="1">
    <w:name w:val="Font Style20"/>
    <w:qFormat/>
    <w:rsid w:val="00210e85"/>
    <w:rPr>
      <w:rFonts w:ascii="Times New Roman" w:hAnsi="Times New Roman" w:cs="Times New Roman"/>
      <w:sz w:val="26"/>
      <w:szCs w:val="26"/>
    </w:rPr>
  </w:style>
  <w:style w:type="character" w:styleId="114" w:customStyle="1">
    <w:name w:val="Знак Знак1"/>
    <w:qFormat/>
    <w:rsid w:val="00210e85"/>
    <w:rPr>
      <w:sz w:val="16"/>
      <w:szCs w:val="16"/>
      <w:lang w:val="ru-RU" w:eastAsia="ar-SA" w:bidi="ar-SA"/>
    </w:rPr>
  </w:style>
  <w:style w:type="character" w:styleId="115" w:customStyle="1">
    <w:name w:val="Основной текст1 Знак"/>
    <w:qFormat/>
    <w:rsid w:val="00210e85"/>
    <w:rPr>
      <w:sz w:val="24"/>
      <w:szCs w:val="24"/>
      <w:lang w:eastAsia="ar-SA" w:bidi="ar-SA"/>
    </w:rPr>
  </w:style>
  <w:style w:type="character" w:styleId="Style23" w:customStyle="1">
    <w:name w:val="Знак Знак"/>
    <w:qFormat/>
    <w:rsid w:val="00210e85"/>
    <w:rPr>
      <w:rFonts w:ascii="Calibri" w:hAnsi="Calibri" w:eastAsia="Calibri" w:cs="Calibri"/>
      <w:lang w:eastAsia="ar-SA" w:bidi="ar-SA"/>
    </w:rPr>
  </w:style>
  <w:style w:type="character" w:styleId="Style24" w:customStyle="1">
    <w:name w:val="Символ сноски"/>
    <w:qFormat/>
    <w:rsid w:val="00210e85"/>
    <w:rPr>
      <w:vertAlign w:val="superscript"/>
    </w:rPr>
  </w:style>
  <w:style w:type="character" w:styleId="BodyTextIndent3Char" w:customStyle="1">
    <w:name w:val="Body Text Indent 3 Char"/>
    <w:qFormat/>
    <w:rsid w:val="00210e85"/>
    <w:rPr>
      <w:rFonts w:ascii="Calibri" w:hAnsi="Calibri" w:eastAsia="Calibri" w:cs="Calibri"/>
      <w:sz w:val="16"/>
      <w:szCs w:val="16"/>
      <w:lang w:val="ru-RU" w:eastAsia="ar-SA" w:bidi="ar-SA"/>
    </w:rPr>
  </w:style>
  <w:style w:type="character" w:styleId="Style25" w:customStyle="1">
    <w:name w:val="Гипертекстовая ссылка"/>
    <w:qFormat/>
    <w:rsid w:val="00210e85"/>
    <w:rPr>
      <w:color w:val="106BBE"/>
    </w:rPr>
  </w:style>
  <w:style w:type="character" w:styleId="Style26" w:customStyle="1">
    <w:name w:val="Маркеры списка"/>
    <w:qFormat/>
    <w:rsid w:val="00210e85"/>
    <w:rPr>
      <w:rFonts w:ascii="OpenSymbol" w:hAnsi="OpenSymbol" w:eastAsia="OpenSymbol" w:cs="OpenSymbol"/>
    </w:rPr>
  </w:style>
  <w:style w:type="character" w:styleId="Style27" w:customStyle="1">
    <w:name w:val="Символ нумерации"/>
    <w:qFormat/>
    <w:rsid w:val="00210e85"/>
    <w:rPr/>
  </w:style>
  <w:style w:type="character" w:styleId="Style28" w:customStyle="1">
    <w:name w:val="Подзаголовок Знак"/>
    <w:basedOn w:val="DefaultParagraphFont"/>
    <w:link w:val="aff9"/>
    <w:qFormat/>
    <w:rsid w:val="00210e85"/>
    <w:rPr>
      <w:rFonts w:ascii="Calibri Light" w:hAnsi="Calibri Light" w:eastAsia="" w:cs="" w:asciiTheme="majorHAnsi" w:cstheme="majorBidi" w:eastAsiaTheme="majorEastAsia" w:hAnsiTheme="majorHAnsi"/>
      <w:i/>
      <w:iCs/>
      <w:color w:val="5B9BD5" w:themeColor="accent1"/>
      <w:spacing w:val="15"/>
      <w:sz w:val="24"/>
      <w:szCs w:val="24"/>
      <w:lang w:eastAsia="ru-RU"/>
    </w:rPr>
  </w:style>
  <w:style w:type="character" w:styleId="211" w:customStyle="1">
    <w:name w:val="Основной текст с отступом 2 Знак1"/>
    <w:basedOn w:val="DefaultParagraphFont"/>
    <w:semiHidden/>
    <w:qFormat/>
    <w:rsid w:val="00210e85"/>
    <w:rPr/>
  </w:style>
  <w:style w:type="character" w:styleId="212" w:customStyle="1">
    <w:name w:val="Основной текст 2 Знак1"/>
    <w:basedOn w:val="DefaultParagraphFont"/>
    <w:semiHidden/>
    <w:qFormat/>
    <w:rsid w:val="00210e85"/>
    <w:rPr/>
  </w:style>
  <w:style w:type="character" w:styleId="Appleconvertedspace" w:customStyle="1">
    <w:name w:val="apple-converted-space"/>
    <w:basedOn w:val="DefaultParagraphFont"/>
    <w:qFormat/>
    <w:rsid w:val="00210e85"/>
    <w:rPr/>
  </w:style>
  <w:style w:type="paragraph" w:styleId="Style29" w:customStyle="1">
    <w:name w:val="Заголовок"/>
    <w:next w:val="Style30"/>
    <w:uiPriority w:val="99"/>
    <w:qFormat/>
    <w:rsid w:val="00210e85"/>
    <w:pPr>
      <w:widowControl w:val="false"/>
      <w:suppressAutoHyphens w:val="true"/>
      <w:bidi w:val="0"/>
      <w:spacing w:lineRule="auto" w:line="240" w:before="0" w:after="0"/>
      <w:jc w:val="left"/>
    </w:pPr>
    <w:rPr>
      <w:rFonts w:ascii="Arial" w:hAnsi="Arial" w:eastAsia="Arial" w:cs="Arial"/>
      <w:b/>
      <w:bCs/>
      <w:color w:val="auto"/>
      <w:kern w:val="0"/>
      <w:sz w:val="22"/>
      <w:szCs w:val="22"/>
      <w:lang w:eastAsia="ar-SA" w:val="ru-RU" w:bidi="ar-SA"/>
    </w:rPr>
  </w:style>
  <w:style w:type="paragraph" w:styleId="Style30">
    <w:name w:val="Body Text"/>
    <w:basedOn w:val="Normal"/>
    <w:link w:val="af0"/>
    <w:uiPriority w:val="99"/>
    <w:semiHidden/>
    <w:unhideWhenUsed/>
    <w:rsid w:val="00210e85"/>
    <w:pPr>
      <w:spacing w:lineRule="auto" w:line="240" w:before="0" w:after="120"/>
    </w:pPr>
    <w:rPr>
      <w:rFonts w:ascii="Times New Roman" w:hAnsi="Times New Roman" w:eastAsia="Times New Roman" w:cs="Times New Roman"/>
      <w:sz w:val="24"/>
      <w:szCs w:val="24"/>
      <w:lang w:eastAsia="ru-RU"/>
    </w:rPr>
  </w:style>
  <w:style w:type="paragraph" w:styleId="Style31">
    <w:name w:val="List"/>
    <w:basedOn w:val="Style30"/>
    <w:pPr/>
    <w:rPr>
      <w:rFonts w:cs="Arial Unicode MS"/>
    </w:rPr>
  </w:style>
  <w:style w:type="paragraph" w:styleId="Style32">
    <w:name w:val="Caption"/>
    <w:basedOn w:val="Normal"/>
    <w:qFormat/>
    <w:pPr>
      <w:suppressLineNumbers/>
      <w:spacing w:before="120" w:after="120"/>
    </w:pPr>
    <w:rPr>
      <w:rFonts w:cs="Arial Unicode MS"/>
      <w:i/>
      <w:iCs/>
      <w:sz w:val="24"/>
      <w:szCs w:val="24"/>
    </w:rPr>
  </w:style>
  <w:style w:type="paragraph" w:styleId="Style33">
    <w:name w:val="Указатель"/>
    <w:basedOn w:val="Normal"/>
    <w:qFormat/>
    <w:pPr>
      <w:suppressLineNumbers/>
    </w:pPr>
    <w:rPr>
      <w:rFonts w:cs="Arial Unicode MS"/>
    </w:rPr>
  </w:style>
  <w:style w:type="paragraph" w:styleId="ConsPlusTitle" w:customStyle="1">
    <w:name w:val="ConsPlusTitle"/>
    <w:qFormat/>
    <w:rsid w:val="00e85cfe"/>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paragraph" w:styleId="ConsPlusNormal1" w:customStyle="1">
    <w:name w:val="ConsPlusNormal"/>
    <w:link w:val="ConsPlusNormal0"/>
    <w:qFormat/>
    <w:rsid w:val="00e85cfe"/>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NormalWeb">
    <w:name w:val="Normal (Web)"/>
    <w:basedOn w:val="Normal"/>
    <w:link w:val="a5"/>
    <w:uiPriority w:val="99"/>
    <w:unhideWhenUsed/>
    <w:qFormat/>
    <w:rsid w:val="00210e85"/>
    <w:pPr>
      <w:spacing w:lineRule="auto" w:line="276" w:before="0" w:after="200"/>
      <w:ind w:left="720" w:hanging="0"/>
      <w:contextualSpacing/>
    </w:pPr>
    <w:rPr>
      <w:rFonts w:ascii="Times New Roman" w:hAnsi="Times New Roman" w:eastAsia="Times New Roman" w:cs="Times New Roman"/>
      <w:sz w:val="24"/>
      <w:szCs w:val="24"/>
    </w:rPr>
  </w:style>
  <w:style w:type="paragraph" w:styleId="Annotationtext">
    <w:name w:val="annotation text"/>
    <w:basedOn w:val="Normal"/>
    <w:link w:val="a9"/>
    <w:uiPriority w:val="99"/>
    <w:semiHidden/>
    <w:unhideWhenUsed/>
    <w:qFormat/>
    <w:rsid w:val="00210e85"/>
    <w:pPr>
      <w:spacing w:lineRule="auto" w:line="240" w:before="0" w:after="0"/>
    </w:pPr>
    <w:rPr/>
  </w:style>
  <w:style w:type="paragraph" w:styleId="Style34" w:customStyle="1">
    <w:name w:val="Прижатый влево"/>
    <w:uiPriority w:val="99"/>
    <w:qFormat/>
    <w:rsid w:val="00210e85"/>
    <w:pPr>
      <w:widowControl w:val="false"/>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2"/>
      <w:sz w:val="20"/>
      <w:szCs w:val="20"/>
      <w:lang w:eastAsia="ar-SA" w:val="ru-RU" w:bidi="ar-SA"/>
    </w:rPr>
  </w:style>
  <w:style w:type="paragraph" w:styleId="ConsPlusNonformat" w:customStyle="1">
    <w:name w:val="ConsPlusNonformat"/>
    <w:qFormat/>
    <w:rsid w:val="00210e85"/>
    <w:pPr>
      <w:widowControl w:val="false"/>
      <w:suppressAutoHyphens w:val="true"/>
      <w:bidi w:val="0"/>
      <w:spacing w:lineRule="auto" w:line="240" w:before="0" w:after="0"/>
      <w:jc w:val="left"/>
    </w:pPr>
    <w:rPr>
      <w:rFonts w:ascii="Calibri" w:hAnsi="Calibri" w:eastAsia="Calibri" w:cs="Times New Roman" w:asciiTheme="minorHAnsi" w:eastAsiaTheme="minorHAnsi" w:hAnsiTheme="minorHAnsi"/>
      <w:color w:val="auto"/>
      <w:kern w:val="2"/>
      <w:sz w:val="20"/>
      <w:szCs w:val="20"/>
      <w:lang w:eastAsia="ar-SA" w:val="ru-RU" w:bidi="ar-SA"/>
    </w:rPr>
  </w:style>
  <w:style w:type="paragraph" w:styleId="Style35" w:customStyle="1">
    <w:name w:val="Содержимое таблицы"/>
    <w:basedOn w:val="Normal"/>
    <w:uiPriority w:val="99"/>
    <w:qFormat/>
    <w:rsid w:val="00210e85"/>
    <w:pPr>
      <w:widowControl w:val="false"/>
      <w:spacing w:lineRule="auto" w:line="240" w:before="0" w:after="0"/>
    </w:pPr>
    <w:rPr>
      <w:rFonts w:ascii="Times New Roman" w:hAnsi="Times New Roman" w:eastAsia="Times New Roman" w:cs="Times New Roman"/>
      <w:sz w:val="28"/>
      <w:szCs w:val="28"/>
      <w:lang w:eastAsia="ru-RU"/>
    </w:rPr>
  </w:style>
  <w:style w:type="paragraph" w:styleId="3f3f3f3f3f3f3f3f3f3f3f3f3f" w:customStyle="1">
    <w:name w:val="П3fр3fи3fж3fа3fт3fы3fй3f в3fл3fе3fв3fо3f"/>
    <w:uiPriority w:val="99"/>
    <w:qFormat/>
    <w:rsid w:val="00210e85"/>
    <w:pPr>
      <w:widowControl w:val="false"/>
      <w:bidi w:val="0"/>
      <w:spacing w:lineRule="auto" w:line="240" w:before="0" w:after="0"/>
      <w:jc w:val="left"/>
    </w:pPr>
    <w:rPr>
      <w:rFonts w:ascii="Calibri" w:hAnsi="Calibri" w:eastAsia="Times New Roman" w:cs="Calibri" w:asciiTheme="minorHAnsi" w:hAnsiTheme="minorHAnsi"/>
      <w:color w:val="auto"/>
      <w:kern w:val="0"/>
      <w:sz w:val="20"/>
      <w:szCs w:val="20"/>
      <w:lang w:eastAsia="ru-RU" w:val="ru-RU" w:bidi="ar-SA"/>
    </w:rPr>
  </w:style>
  <w:style w:type="paragraph" w:styleId="116" w:customStyle="1">
    <w:name w:val="Заголовок1"/>
    <w:basedOn w:val="Normal"/>
    <w:next w:val="Style30"/>
    <w:uiPriority w:val="99"/>
    <w:qFormat/>
    <w:rsid w:val="00210e85"/>
    <w:pPr>
      <w:keepNext w:val="true"/>
      <w:suppressAutoHyphens w:val="true"/>
      <w:spacing w:lineRule="auto" w:line="240" w:before="240" w:after="120"/>
    </w:pPr>
    <w:rPr>
      <w:rFonts w:ascii="Arial" w:hAnsi="Arial" w:eastAsia="Arial Unicode MS" w:cs="Tahoma"/>
      <w:sz w:val="28"/>
      <w:szCs w:val="28"/>
      <w:lang w:eastAsia="ar-SA"/>
    </w:rPr>
  </w:style>
  <w:style w:type="paragraph" w:styleId="117" w:customStyle="1">
    <w:name w:val="Название1"/>
    <w:basedOn w:val="Normal"/>
    <w:uiPriority w:val="99"/>
    <w:qFormat/>
    <w:rsid w:val="00210e85"/>
    <w:pPr>
      <w:suppressLineNumbers/>
      <w:suppressAutoHyphens w:val="true"/>
      <w:spacing w:lineRule="auto" w:line="240" w:before="120" w:after="120"/>
    </w:pPr>
    <w:rPr>
      <w:rFonts w:ascii="Times New Roman" w:hAnsi="Times New Roman" w:eastAsia="Times New Roman" w:cs="Tahoma"/>
      <w:i/>
      <w:iCs/>
      <w:sz w:val="24"/>
      <w:szCs w:val="24"/>
      <w:lang w:eastAsia="ar-SA"/>
    </w:rPr>
  </w:style>
  <w:style w:type="paragraph" w:styleId="118" w:customStyle="1">
    <w:name w:val="Указатель1"/>
    <w:basedOn w:val="Normal"/>
    <w:uiPriority w:val="99"/>
    <w:qFormat/>
    <w:rsid w:val="00210e85"/>
    <w:pPr>
      <w:suppressLineNumbers/>
      <w:suppressAutoHyphens w:val="true"/>
      <w:spacing w:lineRule="auto" w:line="240" w:before="100" w:after="100"/>
    </w:pPr>
    <w:rPr>
      <w:rFonts w:ascii="Times New Roman" w:hAnsi="Times New Roman" w:eastAsia="Times New Roman" w:cs="Tahoma"/>
      <w:sz w:val="24"/>
      <w:szCs w:val="24"/>
      <w:lang w:eastAsia="ar-SA"/>
    </w:rPr>
  </w:style>
  <w:style w:type="paragraph" w:styleId="ConsNonformat" w:customStyle="1">
    <w:name w:val="ConsNonformat"/>
    <w:uiPriority w:val="99"/>
    <w:qFormat/>
    <w:rsid w:val="00210e85"/>
    <w:pPr>
      <w:widowControl w:val="false"/>
      <w:suppressAutoHyphens w:val="true"/>
      <w:bidi w:val="0"/>
      <w:spacing w:lineRule="auto" w:line="240" w:before="0" w:after="0"/>
      <w:jc w:val="left"/>
    </w:pPr>
    <w:rPr>
      <w:rFonts w:ascii="Courier New" w:hAnsi="Courier New" w:eastAsia="Arial" w:cs="Times New Roman"/>
      <w:color w:val="auto"/>
      <w:kern w:val="0"/>
      <w:sz w:val="20"/>
      <w:szCs w:val="20"/>
      <w:lang w:eastAsia="ar-SA" w:val="ru-RU" w:bidi="ar-SA"/>
    </w:rPr>
  </w:style>
  <w:style w:type="paragraph" w:styleId="ConsCell" w:customStyle="1">
    <w:name w:val="ConsCell"/>
    <w:uiPriority w:val="99"/>
    <w:qFormat/>
    <w:rsid w:val="00210e85"/>
    <w:pPr>
      <w:widowControl w:val="false"/>
      <w:suppressAutoHyphens w:val="true"/>
      <w:bidi w:val="0"/>
      <w:spacing w:lineRule="auto" w:line="240" w:before="0" w:after="0"/>
      <w:jc w:val="left"/>
    </w:pPr>
    <w:rPr>
      <w:rFonts w:ascii="Arial" w:hAnsi="Arial" w:eastAsia="Arial" w:cs="Arial"/>
      <w:color w:val="auto"/>
      <w:kern w:val="0"/>
      <w:sz w:val="20"/>
      <w:szCs w:val="20"/>
      <w:lang w:eastAsia="ar-SA" w:val="ru-RU" w:bidi="ar-SA"/>
    </w:rPr>
  </w:style>
  <w:style w:type="paragraph" w:styleId="311" w:customStyle="1">
    <w:name w:val="Основной текст с отступом 31"/>
    <w:basedOn w:val="Normal"/>
    <w:uiPriority w:val="99"/>
    <w:qFormat/>
    <w:rsid w:val="00210e85"/>
    <w:pPr>
      <w:suppressAutoHyphens w:val="true"/>
      <w:spacing w:lineRule="auto" w:line="240" w:before="0" w:after="120"/>
      <w:ind w:left="283" w:hanging="0"/>
    </w:pPr>
    <w:rPr>
      <w:rFonts w:ascii="Times New Roman" w:hAnsi="Times New Roman" w:eastAsia="Calibri" w:cs="Times New Roman"/>
      <w:sz w:val="16"/>
      <w:szCs w:val="16"/>
      <w:lang w:eastAsia="ar-SA"/>
    </w:rPr>
  </w:style>
  <w:style w:type="paragraph" w:styleId="119" w:customStyle="1">
    <w:name w:val="Абзац списка1"/>
    <w:basedOn w:val="Normal"/>
    <w:uiPriority w:val="99"/>
    <w:qFormat/>
    <w:rsid w:val="00210e85"/>
    <w:pPr>
      <w:suppressAutoHyphens w:val="true"/>
      <w:spacing w:lineRule="auto" w:line="276" w:before="0" w:after="200"/>
      <w:ind w:left="720" w:hanging="0"/>
    </w:pPr>
    <w:rPr>
      <w:rFonts w:ascii="Calibri" w:hAnsi="Calibri" w:eastAsia="Times New Roman" w:cs="Times New Roman"/>
      <w:lang w:eastAsia="ar-SA"/>
    </w:rPr>
  </w:style>
  <w:style w:type="paragraph" w:styleId="ConsTitle" w:customStyle="1">
    <w:name w:val="ConsTitle"/>
    <w:uiPriority w:val="99"/>
    <w:qFormat/>
    <w:rsid w:val="00210e85"/>
    <w:pPr>
      <w:widowControl/>
      <w:suppressAutoHyphens w:val="true"/>
      <w:bidi w:val="0"/>
      <w:spacing w:lineRule="auto" w:line="240" w:before="0" w:after="0"/>
      <w:ind w:right="19772" w:hanging="0"/>
      <w:jc w:val="left"/>
    </w:pPr>
    <w:rPr>
      <w:rFonts w:ascii="Arial" w:hAnsi="Arial" w:eastAsia="Calibri" w:cs="Arial" w:eastAsiaTheme="minorHAnsi"/>
      <w:b/>
      <w:bCs/>
      <w:color w:val="auto"/>
      <w:kern w:val="0"/>
      <w:sz w:val="16"/>
      <w:szCs w:val="16"/>
      <w:lang w:eastAsia="ar-SA" w:val="ru-RU" w:bidi="ar-SA"/>
    </w:rPr>
  </w:style>
  <w:style w:type="paragraph" w:styleId="120" w:customStyle="1">
    <w:name w:val="???????1"/>
    <w:uiPriority w:val="99"/>
    <w:qFormat/>
    <w:rsid w:val="00210e85"/>
    <w:pPr>
      <w:widowControl/>
      <w:suppressAutoHyphens w:val="true"/>
      <w:bidi w:val="0"/>
      <w:spacing w:lineRule="auto" w:line="240" w:before="0" w:after="0"/>
      <w:jc w:val="left"/>
    </w:pPr>
    <w:rPr>
      <w:rFonts w:ascii="Times New Roman" w:hAnsi="Times New Roman" w:eastAsia="Arial" w:cs="Times New Roman"/>
      <w:color w:val="auto"/>
      <w:kern w:val="0"/>
      <w:sz w:val="28"/>
      <w:szCs w:val="20"/>
      <w:lang w:eastAsia="ar-SA" w:val="ru-RU" w:bidi="ar-SA"/>
    </w:rPr>
  </w:style>
  <w:style w:type="paragraph" w:styleId="312" w:customStyle="1">
    <w:name w:val="Основной текст 31"/>
    <w:basedOn w:val="Normal"/>
    <w:uiPriority w:val="99"/>
    <w:qFormat/>
    <w:rsid w:val="00210e85"/>
    <w:pPr>
      <w:suppressAutoHyphens w:val="true"/>
      <w:spacing w:lineRule="auto" w:line="240" w:before="100" w:after="120"/>
    </w:pPr>
    <w:rPr>
      <w:rFonts w:ascii="Times New Roman" w:hAnsi="Times New Roman" w:eastAsia="Times New Roman" w:cs="Times New Roman"/>
      <w:sz w:val="16"/>
      <w:szCs w:val="16"/>
      <w:lang w:eastAsia="ar-SA"/>
    </w:rPr>
  </w:style>
  <w:style w:type="paragraph" w:styleId="Msonormalcxspmiddle" w:customStyle="1">
    <w:name w:val="msonormalcxspmiddle"/>
    <w:basedOn w:val="Normal"/>
    <w:uiPriority w:val="99"/>
    <w:qFormat/>
    <w:rsid w:val="00210e85"/>
    <w:pPr>
      <w:suppressAutoHyphens w:val="true"/>
      <w:spacing w:lineRule="auto" w:line="240" w:before="280" w:after="280"/>
    </w:pPr>
    <w:rPr>
      <w:rFonts w:ascii="Times New Roman" w:hAnsi="Times New Roman" w:eastAsia="Times New Roman" w:cs="Times New Roman"/>
      <w:sz w:val="24"/>
      <w:szCs w:val="24"/>
      <w:lang w:eastAsia="ar-SA"/>
    </w:rPr>
  </w:style>
  <w:style w:type="paragraph" w:styleId="213" w:customStyle="1">
    <w:name w:val="Основной текст 21"/>
    <w:basedOn w:val="Normal"/>
    <w:uiPriority w:val="99"/>
    <w:qFormat/>
    <w:rsid w:val="00210e85"/>
    <w:pPr>
      <w:suppressAutoHyphens w:val="true"/>
      <w:spacing w:lineRule="auto" w:line="480" w:before="100" w:after="120"/>
    </w:pPr>
    <w:rPr>
      <w:rFonts w:ascii="Times New Roman" w:hAnsi="Times New Roman" w:eastAsia="Times New Roman" w:cs="Times New Roman"/>
      <w:sz w:val="24"/>
      <w:szCs w:val="24"/>
      <w:lang w:eastAsia="ar-SA"/>
    </w:rPr>
  </w:style>
  <w:style w:type="paragraph" w:styleId="Style36" w:customStyle="1">
    <w:name w:val="Знак"/>
    <w:basedOn w:val="Normal"/>
    <w:uiPriority w:val="99"/>
    <w:qFormat/>
    <w:rsid w:val="00210e85"/>
    <w:pPr>
      <w:suppressAutoHyphens w:val="true"/>
      <w:spacing w:lineRule="exact" w:line="240"/>
    </w:pPr>
    <w:rPr>
      <w:rFonts w:ascii="Verdana" w:hAnsi="Verdana" w:eastAsia="Times New Roman" w:cs="Verdana"/>
      <w:sz w:val="20"/>
      <w:szCs w:val="20"/>
      <w:lang w:val="en-US" w:eastAsia="ar-SA"/>
    </w:rPr>
  </w:style>
  <w:style w:type="paragraph" w:styleId="214" w:customStyle="1">
    <w:name w:val="Основной текст с отступом 21"/>
    <w:basedOn w:val="Normal"/>
    <w:uiPriority w:val="99"/>
    <w:qFormat/>
    <w:rsid w:val="00210e85"/>
    <w:pPr>
      <w:suppressAutoHyphens w:val="true"/>
      <w:spacing w:lineRule="auto" w:line="480" w:before="100" w:after="120"/>
      <w:ind w:left="283" w:hanging="0"/>
    </w:pPr>
    <w:rPr>
      <w:rFonts w:ascii="Times New Roman" w:hAnsi="Times New Roman" w:eastAsia="Times New Roman" w:cs="Times New Roman"/>
      <w:sz w:val="24"/>
      <w:szCs w:val="24"/>
      <w:lang w:eastAsia="ar-SA"/>
    </w:rPr>
  </w:style>
  <w:style w:type="paragraph" w:styleId="Style37" w:customStyle="1">
    <w:name w:val="Знак Знак Знак"/>
    <w:basedOn w:val="Normal"/>
    <w:uiPriority w:val="99"/>
    <w:qFormat/>
    <w:rsid w:val="00210e85"/>
    <w:pPr>
      <w:suppressAutoHyphens w:val="true"/>
      <w:spacing w:lineRule="exact" w:line="240"/>
    </w:pPr>
    <w:rPr>
      <w:rFonts w:ascii="Verdana" w:hAnsi="Verdana" w:eastAsia="Times New Roman" w:cs="Verdana"/>
      <w:sz w:val="20"/>
      <w:szCs w:val="20"/>
      <w:lang w:val="en-US" w:eastAsia="ar-SA"/>
    </w:rPr>
  </w:style>
  <w:style w:type="paragraph" w:styleId="121" w:customStyle="1">
    <w:name w:val="Стиль1"/>
    <w:basedOn w:val="NormalWeb"/>
    <w:uiPriority w:val="99"/>
    <w:qFormat/>
    <w:rsid w:val="00210e85"/>
    <w:pPr>
      <w:suppressAutoHyphens w:val="true"/>
      <w:spacing w:lineRule="auto" w:line="240" w:before="0" w:after="0"/>
      <w:ind w:left="0" w:firstLine="709"/>
      <w:jc w:val="both"/>
    </w:pPr>
    <w:rPr>
      <w:lang w:eastAsia="ar-SA"/>
    </w:rPr>
  </w:style>
  <w:style w:type="paragraph" w:styleId="Default" w:customStyle="1">
    <w:name w:val="Default"/>
    <w:uiPriority w:val="99"/>
    <w:qFormat/>
    <w:rsid w:val="00210e85"/>
    <w:pPr>
      <w:widowControl/>
      <w:suppressAutoHyphens w:val="true"/>
      <w:bidi w:val="0"/>
      <w:spacing w:lineRule="auto" w:line="240" w:before="0" w:after="0"/>
      <w:jc w:val="left"/>
    </w:pPr>
    <w:rPr>
      <w:rFonts w:ascii="Times New Roman" w:hAnsi="Times New Roman" w:eastAsia="Lucida Sans Unicode" w:cs="Times New Roman"/>
      <w:color w:val="000000"/>
      <w:kern w:val="0"/>
      <w:sz w:val="24"/>
      <w:szCs w:val="24"/>
      <w:lang w:eastAsia="ar-SA" w:val="ru-RU" w:bidi="ar-SA"/>
    </w:rPr>
  </w:style>
  <w:style w:type="paragraph" w:styleId="ConsPlusCell" w:customStyle="1">
    <w:name w:val="ConsPlusCell"/>
    <w:qFormat/>
    <w:rsid w:val="00210e85"/>
    <w:pPr>
      <w:widowControl w:val="false"/>
      <w:suppressAutoHyphens w:val="true"/>
      <w:bidi w:val="0"/>
      <w:spacing w:lineRule="auto" w:line="240" w:before="0" w:after="0"/>
      <w:jc w:val="left"/>
    </w:pPr>
    <w:rPr>
      <w:rFonts w:ascii="Calibri" w:hAnsi="Calibri" w:eastAsia="Arial" w:cs="Calibri" w:asciiTheme="minorHAnsi" w:hAnsiTheme="minorHAnsi"/>
      <w:color w:val="auto"/>
      <w:kern w:val="0"/>
      <w:sz w:val="22"/>
      <w:szCs w:val="22"/>
      <w:lang w:eastAsia="ar-SA" w:val="ru-RU" w:bidi="ar-SA"/>
    </w:rPr>
  </w:style>
  <w:style w:type="paragraph" w:styleId="Style38" w:customStyle="1">
    <w:name w:val="Заголовок таблицы"/>
    <w:basedOn w:val="Style35"/>
    <w:uiPriority w:val="99"/>
    <w:qFormat/>
    <w:rsid w:val="00210e85"/>
    <w:pPr>
      <w:spacing w:before="100" w:after="100"/>
      <w:jc w:val="center"/>
    </w:pPr>
    <w:rPr>
      <w:rFonts w:eastAsia="Times New Roman"/>
      <w:b/>
      <w:bCs/>
      <w:kern w:val="0"/>
      <w:sz w:val="24"/>
      <w:szCs w:val="24"/>
    </w:rPr>
  </w:style>
  <w:style w:type="paragraph" w:styleId="Style39" w:customStyle="1">
    <w:name w:val="Содержимое врезки"/>
    <w:basedOn w:val="Style30"/>
    <w:uiPriority w:val="99"/>
    <w:qFormat/>
    <w:rsid w:val="00210e85"/>
    <w:pPr>
      <w:suppressAutoHyphens w:val="true"/>
    </w:pPr>
    <w:rPr>
      <w:lang w:eastAsia="ar-SA"/>
    </w:rPr>
  </w:style>
  <w:style w:type="paragraph" w:styleId="Style40" w:customStyle="1">
    <w:name w:val="Нормальный (таблица)"/>
    <w:basedOn w:val="Normal"/>
    <w:next w:val="Normal"/>
    <w:uiPriority w:val="99"/>
    <w:qFormat/>
    <w:rsid w:val="00210e85"/>
    <w:pPr>
      <w:widowControl w:val="false"/>
      <w:spacing w:lineRule="auto" w:line="240" w:before="0" w:after="0"/>
      <w:jc w:val="both"/>
    </w:pPr>
    <w:rPr>
      <w:rFonts w:ascii="Arial" w:hAnsi="Arial" w:eastAsia="Times New Roman" w:cs="Arial"/>
      <w:sz w:val="24"/>
      <w:szCs w:val="24"/>
      <w:lang w:eastAsia="ru-RU"/>
    </w:rPr>
  </w:style>
  <w:style w:type="paragraph" w:styleId="Style41">
    <w:name w:val="Body Text Indent"/>
    <w:basedOn w:val="Normal"/>
    <w:link w:val="af3"/>
    <w:semiHidden/>
    <w:unhideWhenUsed/>
    <w:rsid w:val="00210e85"/>
    <w:pPr>
      <w:spacing w:lineRule="auto" w:line="240" w:before="0" w:after="120"/>
      <w:ind w:left="283" w:hanging="0"/>
    </w:pPr>
    <w:rPr>
      <w:rFonts w:ascii="Times New Roman" w:hAnsi="Times New Roman" w:eastAsia="Times New Roman" w:cs="Times New Roman"/>
      <w:sz w:val="24"/>
      <w:szCs w:val="24"/>
    </w:rPr>
  </w:style>
  <w:style w:type="paragraph" w:styleId="Style42">
    <w:name w:val="Title"/>
    <w:basedOn w:val="Normal"/>
    <w:next w:val="Normal"/>
    <w:link w:val="af1"/>
    <w:qFormat/>
    <w:rsid w:val="00210e85"/>
    <w:pPr>
      <w:pBdr>
        <w:bottom w:val="single" w:sz="8" w:space="4" w:color="5B9BD5"/>
      </w:pBdr>
      <w:spacing w:lineRule="auto" w:line="240" w:before="0" w:after="300"/>
      <w:contextualSpacing/>
    </w:pPr>
    <w:rPr>
      <w:rFonts w:ascii="Times New Roman" w:hAnsi="Times New Roman" w:eastAsia="Times New Roman" w:cs="Times New Roman"/>
      <w:b/>
      <w:bCs/>
      <w:sz w:val="26"/>
      <w:szCs w:val="24"/>
    </w:rPr>
  </w:style>
  <w:style w:type="paragraph" w:styleId="PlainText">
    <w:name w:val="Plain Text"/>
    <w:basedOn w:val="Normal"/>
    <w:link w:val="af5"/>
    <w:uiPriority w:val="99"/>
    <w:semiHidden/>
    <w:unhideWhenUsed/>
    <w:qFormat/>
    <w:rsid w:val="00210e85"/>
    <w:pPr>
      <w:spacing w:lineRule="auto" w:line="240" w:before="0" w:after="0"/>
    </w:pPr>
    <w:rPr>
      <w:rFonts w:ascii="Consolas" w:hAnsi="Consolas" w:cs="Consolas"/>
      <w:sz w:val="21"/>
      <w:szCs w:val="21"/>
    </w:rPr>
  </w:style>
  <w:style w:type="paragraph" w:styleId="Style43">
    <w:name w:val="Верхний и нижний колонтитулы"/>
    <w:basedOn w:val="Normal"/>
    <w:qFormat/>
    <w:pPr/>
    <w:rPr/>
  </w:style>
  <w:style w:type="paragraph" w:styleId="Style44">
    <w:name w:val="Header"/>
    <w:basedOn w:val="Normal"/>
    <w:link w:val="ab"/>
    <w:uiPriority w:val="99"/>
    <w:unhideWhenUsed/>
    <w:rsid w:val="00210e85"/>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rPr>
  </w:style>
  <w:style w:type="paragraph" w:styleId="Style45">
    <w:name w:val="Footer"/>
    <w:basedOn w:val="Normal"/>
    <w:link w:val="ad"/>
    <w:uiPriority w:val="99"/>
    <w:unhideWhenUsed/>
    <w:rsid w:val="00210e85"/>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rPr>
  </w:style>
  <w:style w:type="paragraph" w:styleId="BalloonText">
    <w:name w:val="Balloon Text"/>
    <w:basedOn w:val="Normal"/>
    <w:link w:val="af9"/>
    <w:uiPriority w:val="99"/>
    <w:semiHidden/>
    <w:unhideWhenUsed/>
    <w:qFormat/>
    <w:rsid w:val="00210e85"/>
    <w:pPr>
      <w:spacing w:lineRule="auto" w:line="240" w:before="0" w:after="0"/>
    </w:pPr>
    <w:rPr>
      <w:rFonts w:ascii="Segoe UI" w:hAnsi="Segoe UI" w:eastAsia="Times New Roman" w:cs="Segoe UI"/>
      <w:sz w:val="18"/>
      <w:szCs w:val="18"/>
    </w:rPr>
  </w:style>
  <w:style w:type="paragraph" w:styleId="Style46">
    <w:name w:val="Footnote Text"/>
    <w:basedOn w:val="Normal"/>
    <w:link w:val="a7"/>
    <w:uiPriority w:val="99"/>
    <w:semiHidden/>
    <w:unhideWhenUsed/>
    <w:rsid w:val="00210e85"/>
    <w:pPr>
      <w:spacing w:lineRule="auto" w:line="240" w:before="0" w:after="0"/>
    </w:pPr>
    <w:rPr>
      <w:rFonts w:ascii="Times New Roman" w:hAnsi="Times New Roman" w:eastAsia="Times New Roman" w:cs="Times New Roman"/>
    </w:rPr>
  </w:style>
  <w:style w:type="paragraph" w:styleId="Annotationsubject">
    <w:name w:val="annotation subject"/>
    <w:basedOn w:val="Annotationtext"/>
    <w:next w:val="Annotationtext"/>
    <w:link w:val="af7"/>
    <w:uiPriority w:val="99"/>
    <w:semiHidden/>
    <w:unhideWhenUsed/>
    <w:qFormat/>
    <w:rsid w:val="00210e85"/>
    <w:pPr/>
    <w:rPr>
      <w:b/>
      <w:bCs/>
    </w:rPr>
  </w:style>
  <w:style w:type="paragraph" w:styleId="Style47">
    <w:name w:val="Subtitle"/>
    <w:basedOn w:val="Normal"/>
    <w:next w:val="Normal"/>
    <w:link w:val="affa"/>
    <w:qFormat/>
    <w:rsid w:val="00210e85"/>
    <w:pPr>
      <w:spacing w:lineRule="auto" w:line="240" w:before="0" w:after="0"/>
    </w:pPr>
    <w:rPr>
      <w:rFonts w:ascii="Calibri Light" w:hAnsi="Calibri Light" w:eastAsia="" w:cs="" w:asciiTheme="majorHAnsi" w:cstheme="majorBidi" w:eastAsiaTheme="majorEastAsia" w:hAnsiTheme="majorHAnsi"/>
      <w:i/>
      <w:iCs/>
      <w:color w:val="5B9BD5" w:themeColor="accent1"/>
      <w:spacing w:val="15"/>
      <w:sz w:val="24"/>
      <w:szCs w:val="24"/>
      <w:lang w:eastAsia="ru-RU"/>
    </w:rPr>
  </w:style>
  <w:style w:type="paragraph" w:styleId="BodyTextIndent2">
    <w:name w:val="Body Text Indent 2"/>
    <w:basedOn w:val="Normal"/>
    <w:link w:val="23"/>
    <w:semiHidden/>
    <w:unhideWhenUsed/>
    <w:qFormat/>
    <w:rsid w:val="00210e85"/>
    <w:pPr>
      <w:spacing w:lineRule="auto" w:line="480" w:before="0" w:after="120"/>
      <w:ind w:left="283" w:hanging="0"/>
    </w:pPr>
    <w:rPr>
      <w:rFonts w:ascii="Times New Roman" w:hAnsi="Times New Roman" w:eastAsia="Times New Roman" w:cs="Times New Roman"/>
      <w:sz w:val="24"/>
      <w:szCs w:val="24"/>
      <w:lang w:eastAsia="ar-SA"/>
    </w:rPr>
  </w:style>
  <w:style w:type="paragraph" w:styleId="BodyText2">
    <w:name w:val="Body Text 2"/>
    <w:basedOn w:val="Normal"/>
    <w:link w:val="21"/>
    <w:semiHidden/>
    <w:unhideWhenUsed/>
    <w:qFormat/>
    <w:rsid w:val="00210e85"/>
    <w:pPr>
      <w:spacing w:lineRule="auto" w:line="480" w:before="0" w:after="120"/>
    </w:pPr>
    <w:rPr>
      <w:rFonts w:ascii="Times New Roman" w:hAnsi="Times New Roman" w:eastAsia="Times New Roman" w:cs="Times New Roman"/>
      <w:sz w:val="24"/>
      <w:szCs w:val="24"/>
      <w:lang w:eastAsia="ar-SA"/>
    </w:rPr>
  </w:style>
  <w:style w:type="paragraph" w:styleId="ListParagraph">
    <w:name w:val="List Paragraph"/>
    <w:basedOn w:val="Normal"/>
    <w:uiPriority w:val="34"/>
    <w:qFormat/>
    <w:rsid w:val="00210e85"/>
    <w:pPr>
      <w:spacing w:lineRule="auto" w:line="276" w:before="0" w:after="200"/>
      <w:ind w:left="720" w:hanging="0"/>
      <w:contextualSpacing/>
    </w:pPr>
    <w:rPr>
      <w:rFonts w:ascii="Times New Roman" w:hAnsi="Times New Roman" w:eastAsia="Calibri" w:cs="Times New Roman"/>
      <w:sz w:val="28"/>
      <w:szCs w:val="28"/>
    </w:rPr>
  </w:style>
  <w:style w:type="paragraph" w:styleId="ConsPlusDocList" w:customStyle="1">
    <w:name w:val="ConsPlusDocList"/>
    <w:qFormat/>
    <w:rsid w:val="00210e85"/>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TitlePage" w:customStyle="1">
    <w:name w:val="ConsPlusTitlePage"/>
    <w:qFormat/>
    <w:rsid w:val="00210e85"/>
    <w:pPr>
      <w:widowControl w:val="false"/>
      <w:bidi w:val="0"/>
      <w:spacing w:lineRule="auto" w:line="240" w:before="0" w:after="0"/>
      <w:jc w:val="left"/>
    </w:pPr>
    <w:rPr>
      <w:rFonts w:ascii="Tahoma" w:hAnsi="Tahoma" w:eastAsia="Times New Roman" w:cs="Tahoma"/>
      <w:color w:val="auto"/>
      <w:kern w:val="0"/>
      <w:sz w:val="20"/>
      <w:szCs w:val="20"/>
      <w:lang w:eastAsia="ru-RU" w:val="ru-RU" w:bidi="ar-SA"/>
    </w:rPr>
  </w:style>
  <w:style w:type="paragraph" w:styleId="ConsPlusJurTerm" w:customStyle="1">
    <w:name w:val="ConsPlusJurTerm"/>
    <w:qFormat/>
    <w:rsid w:val="00210e85"/>
    <w:pPr>
      <w:widowControl w:val="false"/>
      <w:bidi w:val="0"/>
      <w:spacing w:lineRule="auto" w:line="240" w:before="0" w:after="0"/>
      <w:jc w:val="left"/>
    </w:pPr>
    <w:rPr>
      <w:rFonts w:ascii="Tahoma" w:hAnsi="Tahoma" w:eastAsia="Times New Roman" w:cs="Tahoma"/>
      <w:color w:val="auto"/>
      <w:kern w:val="0"/>
      <w:sz w:val="26"/>
      <w:szCs w:val="20"/>
      <w:lang w:eastAsia="ru-RU" w:val="ru-RU" w:bidi="ar-SA"/>
    </w:rPr>
  </w:style>
  <w:style w:type="paragraph" w:styleId="ConsPlusTextList" w:customStyle="1">
    <w:name w:val="ConsPlusTextList"/>
    <w:qFormat/>
    <w:rsid w:val="00210e85"/>
    <w:pPr>
      <w:widowControl w:val="false"/>
      <w:bidi w:val="0"/>
      <w:spacing w:lineRule="auto" w:line="240" w:before="0" w:after="0"/>
      <w:jc w:val="left"/>
    </w:pPr>
    <w:rPr>
      <w:rFonts w:ascii="Arial" w:hAnsi="Arial" w:eastAsia="Times New Roman" w:cs="Arial"/>
      <w:color w:val="auto"/>
      <w:kern w:val="0"/>
      <w:sz w:val="20"/>
      <w:szCs w:val="20"/>
      <w:lang w:eastAsia="ru-RU" w:val="ru-RU" w:bidi="ar-SA"/>
    </w:rPr>
  </w:style>
  <w:style w:type="numbering" w:styleId="NoList" w:default="1">
    <w:name w:val="No List"/>
    <w:uiPriority w:val="99"/>
    <w:semiHidden/>
    <w:unhideWhenUsed/>
    <w:qFormat/>
  </w:style>
  <w:style w:type="numbering" w:styleId="122" w:customStyle="1">
    <w:name w:val="Нет списка1"/>
    <w:uiPriority w:val="99"/>
    <w:semiHidden/>
    <w:unhideWhenUsed/>
    <w:qFormat/>
    <w:rsid w:val="00210e85"/>
  </w:style>
  <w:style w:type="numbering" w:styleId="1110" w:customStyle="1">
    <w:name w:val="Нет списка11"/>
    <w:uiPriority w:val="99"/>
    <w:semiHidden/>
    <w:unhideWhenUsed/>
    <w:qFormat/>
    <w:rsid w:val="00210e85"/>
  </w:style>
  <w:style w:type="table" w:default="1" w:styleId="a1">
    <w:name w:val="Normal Table"/>
    <w:uiPriority w:val="99"/>
    <w:semiHidden/>
    <w:unhideWhenUsed/>
    <w:tblPr>
      <w:tblCellMar>
        <w:top w:w="0" w:type="dxa"/>
        <w:left w:w="108" w:type="dxa"/>
        <w:bottom w:w="0" w:type="dxa"/>
        <w:right w:w="108" w:type="dxa"/>
      </w:tblCellMar>
    </w:tblPr>
  </w:style>
  <w:style w:type="table" w:styleId="affb">
    <w:name w:val="Table Grid"/>
    <w:basedOn w:val="a1"/>
    <w:uiPriority w:val="59"/>
    <w:rsid w:val="00210e85"/>
    <w:pPr>
      <w:spacing w:after="0" w:line="240" w:lineRule="auto"/>
    </w:pP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003C2886000D28163CB96B870448F10060BFEEB4B109850A8D4475E60EE0C096BC15ACF702253014C99CAB8870nE2CI" TargetMode="External"/><Relationship Id="rId3" Type="http://schemas.openxmlformats.org/officeDocument/2006/relationships/hyperlink" Target="consultantplus://offline/ref=003C2886000D28163CB96B870448F10060BEEEB1B60C850A8D4475E60EE0C096BC15ACF702253014C99CAB8870nE2CI" TargetMode="External"/><Relationship Id="rId4" Type="http://schemas.openxmlformats.org/officeDocument/2006/relationships/hyperlink" Target="consultantplus://offline/ref=003C2886000D28163CB96B910724AD0D62B6B0BDB10D8F59D41B2EBB59E9CAC1E95AADAB47742315CF9CA98A6CEEA3F1n326I" TargetMode="External"/><Relationship Id="rId5" Type="http://schemas.openxmlformats.org/officeDocument/2006/relationships/hyperlink" Target="consultantplus://offline/ref=003C2886000D28163CB96B910724AD0D62B6B0BDB103865FD91B2EBB59E9CAC1E95AADB9472C2F14CB82A88879B8F2B763426372786AE9C6C1B1DDn32FI" TargetMode="External"/><Relationship Id="rId6" Type="http://schemas.openxmlformats.org/officeDocument/2006/relationships/hyperlink" Target="consultantplus://offline/ref=003C2886000D28163CB96B870448F10060BEEEB1B70B850A8D4475E60EE0C096BC15ACF702253014C99CAB8870nE2CI" TargetMode="External"/><Relationship Id="rId7" Type="http://schemas.openxmlformats.org/officeDocument/2006/relationships/hyperlink" Target="consultantplus://offline/ref=003C2886000D28163CB96B870448F10060BFEBB6B30E850A8D4475E60EE0C096BC15ACF702253014C99CAB8870nE2CI" TargetMode="External"/><Relationship Id="rId8" Type="http://schemas.openxmlformats.org/officeDocument/2006/relationships/hyperlink" Target="consultantplus://offline/ref=003C2886000D28163CB96B870448F10062B5EAB1B508850A8D4475E60EE0C096BC15ACF702253014C99CAB8870nE2CI" TargetMode="External"/><Relationship Id="rId9" Type="http://schemas.openxmlformats.org/officeDocument/2006/relationships/hyperlink" Target="consultantplus://offline/ref=003C2886000D28163CB96B910724AD0D62B6B0BDB10D8D5ED21B2EBB59E9CAC1E95AADB9472C2F14CB82AF8C79B8F2B763426372786AE9C6C1B1DDn32FI" TargetMode="External"/><Relationship Id="rId10" Type="http://schemas.openxmlformats.org/officeDocument/2006/relationships/image" Target="media/image1.wmf"/><Relationship Id="rId11" Type="http://schemas.openxmlformats.org/officeDocument/2006/relationships/image" Target="media/image2.wmf"/><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yperlink" Target="consultantplus://offline/ref=003C2886000D28163CB96B910724AD0D62B6B0BDB6028A5DD51B2EBB59E9CAC1E95AADAB47742315CF9CA98A6CEEA3F1n326I" TargetMode="External"/><Relationship Id="rId15" Type="http://schemas.openxmlformats.org/officeDocument/2006/relationships/hyperlink" Target="consultantplus://offline/ref=003C2886000D28163CB96B910724AD0D62B6B0BDB10D8D5ED21B2EBB59E9CAC1E95AADAB47742315CF9CA98A6CEEA3F1n326I" TargetMode="External"/><Relationship Id="rId16" Type="http://schemas.openxmlformats.org/officeDocument/2006/relationships/hyperlink" Target="consultantplus://offline/ref=003C2886000D28163CB96B910724AD0D62B6B0BDB10F8B5BD81B2EBB59E9CAC1E95AADAB47742315CF9CA98A6CEEA3F1n326I" TargetMode="External"/><Relationship Id="rId17" Type="http://schemas.openxmlformats.org/officeDocument/2006/relationships/header" Target="header3.xml"/><Relationship Id="rId18" Type="http://schemas.openxmlformats.org/officeDocument/2006/relationships/header" Target="header4.xml"/><Relationship Id="rId19" Type="http://schemas.openxmlformats.org/officeDocument/2006/relationships/hyperlink" Target="consultantplus://offline/ref=003C2886000D28163CB96B870448F10060BEEEB1B60C850A8D4475E60EE0C096BC15ACF702253014C99CAB8870nE2CI" TargetMode="External"/><Relationship Id="rId20" Type="http://schemas.openxmlformats.org/officeDocument/2006/relationships/hyperlink" Target="consultantplus://offline/ref=003C2886000D28163CB96B910724AD0D62B6B0BDB10D8F59D41B2EBB59E9CAC1E95AADAB47742315CF9CA98A6CEEA3F1n326I" TargetMode="External"/><Relationship Id="rId21" Type="http://schemas.openxmlformats.org/officeDocument/2006/relationships/hyperlink" Target="consultantplus://offline/ref=003C2886000D28163CB96B910724AD0D62B6B0BDB103865FD91B2EBB59E9CAC1E95AADB9472C2F14CB82A88879B8F2B763426372786AE9C6C1B1DDn32FI" TargetMode="External"/><Relationship Id="rId22" Type="http://schemas.openxmlformats.org/officeDocument/2006/relationships/hyperlink" Target="consultantplus://offline/ref=003C2886000D28163CB96B870448F10060BEEEB1B70B850A8D4475E60EE0C096BC15ACF702253014C99CAB8870nE2CI" TargetMode="External"/><Relationship Id="rId23" Type="http://schemas.openxmlformats.org/officeDocument/2006/relationships/hyperlink" Target="consultantplus://offline/ref=003C2886000D28163CB96B870448F10060BFEBB6B30E850A8D4475E60EE0C096BC15ACF702253014C99CAB8870nE2CI" TargetMode="External"/><Relationship Id="rId24" Type="http://schemas.openxmlformats.org/officeDocument/2006/relationships/hyperlink" Target="consultantplus://offline/ref=003C2886000D28163CB96B870448F10062B5EAB1B508850A8D4475E60EE0C096BC15ACF702253014C99CAB8870nE2CI" TargetMode="External"/><Relationship Id="rId25" Type="http://schemas.openxmlformats.org/officeDocument/2006/relationships/hyperlink" Target="consultantplus://offline/ref=003C2886000D28163CB96B870448F10060BEEEB8B60D850A8D4475E60EE0C096AE15F4FD052225409AC6FC8573E8BDF33451607664n62AI" TargetMode="External"/><Relationship Id="rId26" Type="http://schemas.openxmlformats.org/officeDocument/2006/relationships/hyperlink" Target="consultantplus://offline/ref=003C2886000D28163CB96B870448F10060BDEEB8B10F850A8D4475E60EE0C096BC15ACF702253014C99CAB8870nE2CI" TargetMode="External"/><Relationship Id="rId27" Type="http://schemas.openxmlformats.org/officeDocument/2006/relationships/hyperlink" Target="consultantplus://offline/ref=003C2886000D28163CB96B870448F10060BFEFB5B70C850A8D4475E60EE0C096BC15ACF702253014C99CAB8870nE2CI" TargetMode="External"/><Relationship Id="rId28" Type="http://schemas.openxmlformats.org/officeDocument/2006/relationships/hyperlink" Target="consultantplus://offline/ref=003C2886000D28163CB96B870448F10061BCE9B4BC02850A8D4475E60EE0C096BC15ACF702253014C99CAB8870nE2CI" TargetMode="External"/><Relationship Id="rId29" Type="http://schemas.openxmlformats.org/officeDocument/2006/relationships/hyperlink" Target="consultantplus://offline/ref=003C2886000D28163CB96B870448F10061B4EBB7B408850A8D4475E60EE0C096AE15F4FB03212E16CC89FDD936B9AEF2325162747868EBDAnC23I" TargetMode="External"/><Relationship Id="rId30" Type="http://schemas.openxmlformats.org/officeDocument/2006/relationships/hyperlink" Target="consultantplus://offline/ref=03B456C834EC8090D992EA3913F0305C5A90FEBA6F4E5C9BB77FCD9D92d7VAH" TargetMode="External"/><Relationship Id="rId31" Type="http://schemas.openxmlformats.org/officeDocument/2006/relationships/hyperlink" Target="consultantplus://offline/ref=03B456C834EC8090D992EA3913F0305C5A91FFB862435C9BB77FCD9D927A99E3ABC23A77EA07CDA1dAV6H" TargetMode="External"/><Relationship Id="rId32" Type="http://schemas.openxmlformats.org/officeDocument/2006/relationships/hyperlink" Target="consultantplus://offline/ref=003C2886000D28163CB96B870448F10060BEEEB8B60D850A8D4475E60EE0C096BC15ACF702253014C99CAB8870nE2CI" TargetMode="External"/><Relationship Id="rId33" Type="http://schemas.openxmlformats.org/officeDocument/2006/relationships/hyperlink" Target="consultantplus://offline/ref=003C2886000D28163CB96B870448F10061B5E8B0B309850A8D4475E60EE0C096AE15F4FB03212E16C989FDD936B9AEF2325162747868EBDAnC23I" TargetMode="External"/><Relationship Id="rId34" Type="http://schemas.openxmlformats.org/officeDocument/2006/relationships/hyperlink" Target="consultantplus://offline/ref=003C2886000D28163CB96B870448F10061B5E8B0B309850A8D4475E60EE0C096AE15F4FB03212E16C989FDD936B9AEF2325162747868EBDAnC23I" TargetMode="External"/><Relationship Id="rId35" Type="http://schemas.openxmlformats.org/officeDocument/2006/relationships/hyperlink" Target="consultantplus://offline/ref=003C2886000D28163CB96B870448F10060BEEEB8B60D850A8D4475E60EE0C096AE15F4FC052725409AC6FC8573E8BDF33451607664n62AI" TargetMode="External"/><Relationship Id="rId36" Type="http://schemas.openxmlformats.org/officeDocument/2006/relationships/hyperlink" Target="consultantplus://offline/ref=003C2886000D28163CB96B870448F10060BFE7B3B00E850A8D4475E60EE0C096AE15F4FB002725409AC6FC8573E8BDF33451607664n62AI" TargetMode="External"/><Relationship Id="rId37" Type="http://schemas.openxmlformats.org/officeDocument/2006/relationships/hyperlink" Target="consultantplus://offline/ref=003C2886000D28163CB96B870448F10060BEEEB1B70B850A8D4475E60EE0C096BC15ACF702253014C99CAB8870nE2CI" TargetMode="External"/><Relationship Id="rId38" Type="http://schemas.openxmlformats.org/officeDocument/2006/relationships/hyperlink" Target="consultantplus://offline/ref=003C2886000D28163CB96B870448F10060BFEBB6B30E850A8D4475E60EE0C096BC15ACF702253014C99CAB8870nE2CI" TargetMode="External"/><Relationship Id="rId39" Type="http://schemas.openxmlformats.org/officeDocument/2006/relationships/hyperlink" Target="consultantplus://offline/ref=003C2886000D28163CB96B870448F10062B5EAB1B508850A8D4475E60EE0C096BC15ACF702253014C99CAB8870nE2CI" TargetMode="External"/><Relationship Id="rId40" Type="http://schemas.openxmlformats.org/officeDocument/2006/relationships/hyperlink" Target="consultantplus://offline/ref=003C2886000D28163CB96B870448F10060BEEEB1B60C850A8D4475E60EE0C096BC15ACF702253014C99CAB8870nE2CI" TargetMode="External"/><Relationship Id="rId41" Type="http://schemas.openxmlformats.org/officeDocument/2006/relationships/hyperlink" Target="consultantplus://offline/ref=003C2886000D28163CB96B910724AD0D62B6B0BDB10D8F59D41B2EBB59E9CAC1E95AADAB47742315CF9CA98A6CEEA3F1n326I" TargetMode="External"/><Relationship Id="rId42" Type="http://schemas.openxmlformats.org/officeDocument/2006/relationships/hyperlink" Target="consultantplus://offline/ref=003C2886000D28163CB96B870448F10060BFEBB9B40E850A8D4475E60EE0C096AE15F4F2072A7A458FD7A48976F2A3F1284D6274n626I" TargetMode="External"/><Relationship Id="rId43" Type="http://schemas.openxmlformats.org/officeDocument/2006/relationships/hyperlink" Target="consultantplus://offline/ref=003C2886000D28163CB96B870448F10061B4EBB7B10F850A8D4475E60EE0C096BC15ACF702253014C99CAB8870nE2CI" TargetMode="External"/><Relationship Id="rId44" Type="http://schemas.openxmlformats.org/officeDocument/2006/relationships/hyperlink" Target="consultantplus://offline/ref=003C2886000D28163CB96B870448F10062B4E7B8B00D850A8D4475E60EE0C096BC15ACF702253014C99CAB8870nE2CI" TargetMode="External"/><Relationship Id="rId45" Type="http://schemas.openxmlformats.org/officeDocument/2006/relationships/hyperlink" Target="consultantplus://offline/ref=003C2886000D28163CB96B870448F10060BCECB2B403850A8D4475E60EE0C096BC15ACF702253014C99CAB8870nE2CI" TargetMode="External"/><Relationship Id="rId46" Type="http://schemas.openxmlformats.org/officeDocument/2006/relationships/hyperlink" Target="consultantplus://offline/ref=003C2886000D28163CB96B870448F10060BFEBB9BC0F850A8D4475E60EE0C096BC15ACF702253014C99CAB8870nE2CI" TargetMode="External"/><Relationship Id="rId47" Type="http://schemas.openxmlformats.org/officeDocument/2006/relationships/header" Target="header5.xml"/><Relationship Id="rId48" Type="http://schemas.openxmlformats.org/officeDocument/2006/relationships/fontTable" Target="fontTable.xml"/><Relationship Id="rId49" Type="http://schemas.openxmlformats.org/officeDocument/2006/relationships/settings" Target="settings.xml"/><Relationship Id="rId5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Application>LibreOffice/7.0.1.2$Windows_X86_64 LibreOffice_project/7cbcfc562f6eb6708b5ff7d7397325de9e764452</Application>
  <Pages>30</Pages>
  <Words>8184</Words>
  <Characters>61401</Characters>
  <CharactersWithSpaces>69124</CharactersWithSpaces>
  <Paragraphs>659</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2021-10-21T12:57:00Z</dcterms:created>
  <dc:creator>Луцков Максим Владимирович</dc:creator>
  <dc:description/>
  <dc:language>ru-RU</dc:language>
  <cp:lastModifiedBy>Луцков Максим Владимирович</cp:lastModifiedBy>
  <cp:lastPrinted>2021-10-21T08:59:00Z</cp:lastPrinted>
  <dcterms:modified xsi:type="dcterms:W3CDTF">2021-10-21T14:12:00Z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